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56" w:rsidRPr="00CD39CB" w:rsidRDefault="00DE0A56" w:rsidP="00DE0A56">
      <w:pPr>
        <w:pStyle w:val="standard"/>
        <w:ind w:left="708" w:hanging="708"/>
        <w:jc w:val="both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CD39CB">
        <w:rPr>
          <w:rFonts w:eastAsia="Times New Roman"/>
          <w:b/>
          <w:sz w:val="24"/>
          <w:szCs w:val="24"/>
        </w:rPr>
        <w:t>Ofício ANAMATRA nº</w:t>
      </w:r>
      <w:r>
        <w:rPr>
          <w:rFonts w:eastAsia="Times New Roman"/>
          <w:b/>
          <w:sz w:val="24"/>
          <w:szCs w:val="24"/>
        </w:rPr>
        <w:t xml:space="preserve"> 125</w:t>
      </w:r>
      <w:r w:rsidRPr="00CD39CB">
        <w:rPr>
          <w:rFonts w:eastAsia="Times New Roman"/>
          <w:b/>
          <w:sz w:val="24"/>
          <w:szCs w:val="24"/>
        </w:rPr>
        <w:t>/</w:t>
      </w:r>
      <w:r>
        <w:rPr>
          <w:rFonts w:eastAsia="Times New Roman"/>
          <w:b/>
          <w:sz w:val="24"/>
          <w:szCs w:val="24"/>
        </w:rPr>
        <w:t>2019</w:t>
      </w:r>
    </w:p>
    <w:p w:rsidR="00DE0A56" w:rsidRPr="00CD39CB" w:rsidRDefault="00DE0A56" w:rsidP="00DE0A56">
      <w:pPr>
        <w:pStyle w:val="standard"/>
        <w:ind w:left="708" w:hanging="708"/>
        <w:jc w:val="right"/>
        <w:rPr>
          <w:rFonts w:eastAsia="Times New Roman"/>
          <w:sz w:val="24"/>
          <w:szCs w:val="24"/>
        </w:rPr>
      </w:pPr>
      <w:r w:rsidRPr="00CD39CB">
        <w:rPr>
          <w:rFonts w:eastAsia="Times New Roman"/>
          <w:sz w:val="24"/>
          <w:szCs w:val="24"/>
        </w:rPr>
        <w:t>Brasília</w:t>
      </w:r>
      <w:r>
        <w:rPr>
          <w:rFonts w:eastAsia="Times New Roman"/>
          <w:sz w:val="24"/>
          <w:szCs w:val="24"/>
        </w:rPr>
        <w:t>/DF</w:t>
      </w:r>
      <w:r w:rsidRPr="00CD39CB">
        <w:rPr>
          <w:rFonts w:eastAsia="Times New Roman"/>
          <w:sz w:val="24"/>
          <w:szCs w:val="24"/>
        </w:rPr>
        <w:t>, 18 de fevereiro de 2019.</w:t>
      </w:r>
    </w:p>
    <w:p w:rsidR="00DE0A56" w:rsidRPr="00CD39CB" w:rsidRDefault="00DE0A56" w:rsidP="00DE0A56">
      <w:pPr>
        <w:pStyle w:val="standard"/>
        <w:ind w:left="708" w:hanging="708"/>
        <w:rPr>
          <w:rFonts w:eastAsia="Times New Roman"/>
          <w:sz w:val="24"/>
          <w:szCs w:val="24"/>
        </w:rPr>
      </w:pPr>
    </w:p>
    <w:p w:rsidR="00DE0A56" w:rsidRPr="00CD39CB" w:rsidRDefault="00DE0A56" w:rsidP="00DE0A56">
      <w:pPr>
        <w:pStyle w:val="Corpodetexto"/>
        <w:tabs>
          <w:tab w:val="left" w:pos="10632"/>
        </w:tabs>
        <w:spacing w:line="360" w:lineRule="auto"/>
        <w:ind w:right="-1"/>
        <w:rPr>
          <w:rFonts w:ascii="Calibri" w:hAnsi="Calibri" w:cs="Calibri"/>
          <w:sz w:val="22"/>
          <w:szCs w:val="22"/>
          <w:lang w:val="pt-BR"/>
        </w:rPr>
      </w:pPr>
      <w:r w:rsidRPr="00CD39CB">
        <w:rPr>
          <w:rFonts w:ascii="Calibri" w:hAnsi="Calibri" w:cs="Calibri"/>
          <w:sz w:val="22"/>
          <w:szCs w:val="22"/>
          <w:lang w:val="pt-BR"/>
        </w:rPr>
        <w:t>Excelentíssimo Senhor</w:t>
      </w:r>
    </w:p>
    <w:p w:rsidR="00DE0A56" w:rsidRPr="00CD39CB" w:rsidRDefault="00DE0A56" w:rsidP="00DE0A56">
      <w:pPr>
        <w:pStyle w:val="Corpodetexto"/>
        <w:tabs>
          <w:tab w:val="left" w:pos="10632"/>
        </w:tabs>
        <w:spacing w:line="360" w:lineRule="auto"/>
        <w:ind w:right="-1"/>
        <w:rPr>
          <w:rFonts w:ascii="Calibri" w:hAnsi="Calibri" w:cs="Calibri"/>
          <w:b/>
          <w:sz w:val="22"/>
          <w:szCs w:val="22"/>
          <w:lang w:val="pt-BR"/>
        </w:rPr>
      </w:pPr>
      <w:r w:rsidRPr="00CD39CB">
        <w:rPr>
          <w:rFonts w:ascii="Calibri" w:hAnsi="Calibri" w:cs="Calibri"/>
          <w:b/>
          <w:sz w:val="22"/>
          <w:szCs w:val="22"/>
          <w:lang w:val="pt-BR"/>
        </w:rPr>
        <w:t>DAVI ALCOLUMBRE</w:t>
      </w:r>
    </w:p>
    <w:p w:rsidR="00DE0A56" w:rsidRPr="00CD39CB" w:rsidRDefault="00DE0A56" w:rsidP="00DE0A56">
      <w:pPr>
        <w:pStyle w:val="Corpodetexto"/>
        <w:tabs>
          <w:tab w:val="left" w:pos="10632"/>
        </w:tabs>
        <w:spacing w:line="360" w:lineRule="auto"/>
        <w:ind w:right="-1"/>
        <w:rPr>
          <w:rFonts w:ascii="Calibri" w:hAnsi="Calibri" w:cs="Calibri"/>
          <w:sz w:val="22"/>
          <w:szCs w:val="22"/>
          <w:lang w:val="pt-BR"/>
        </w:rPr>
      </w:pPr>
      <w:r w:rsidRPr="00CD39CB">
        <w:rPr>
          <w:rFonts w:ascii="Calibri" w:hAnsi="Calibri" w:cs="Calibri"/>
          <w:sz w:val="22"/>
          <w:szCs w:val="22"/>
          <w:lang w:val="pt-BR"/>
        </w:rPr>
        <w:t>Presidente do Senado Federal</w:t>
      </w:r>
    </w:p>
    <w:p w:rsidR="00DE0A56" w:rsidRPr="00CD39CB" w:rsidRDefault="00DE0A56" w:rsidP="00DE0A56">
      <w:pPr>
        <w:pStyle w:val="Corpodetexto"/>
        <w:spacing w:line="360" w:lineRule="auto"/>
        <w:ind w:right="-1"/>
        <w:rPr>
          <w:rFonts w:ascii="Calibri" w:hAnsi="Calibri" w:cs="Calibri"/>
          <w:sz w:val="22"/>
          <w:szCs w:val="22"/>
          <w:u w:val="single"/>
          <w:lang w:val="pt-BR"/>
        </w:rPr>
      </w:pPr>
      <w:r w:rsidRPr="00CD39CB">
        <w:rPr>
          <w:rFonts w:ascii="Calibri" w:hAnsi="Calibri" w:cs="Calibri"/>
          <w:sz w:val="22"/>
          <w:szCs w:val="22"/>
          <w:u w:val="single"/>
          <w:lang w:val="pt-BR"/>
        </w:rPr>
        <w:t>Brasília/DF</w:t>
      </w:r>
    </w:p>
    <w:p w:rsidR="00DE0A56" w:rsidRPr="00CD39CB" w:rsidRDefault="00DE0A56" w:rsidP="00DE0A56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="Times New Roman" w:hAnsi="Times New Roman" w:cs="Bookman Old Style"/>
          <w:b/>
          <w:bCs/>
          <w:szCs w:val="20"/>
        </w:rPr>
      </w:pPr>
    </w:p>
    <w:p w:rsidR="00DE0A56" w:rsidRPr="00CD39CB" w:rsidRDefault="00DE0A56" w:rsidP="00DE0A56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="Times New Roman" w:hAnsi="Times New Roman" w:cs="Bookman Old Style"/>
          <w:b/>
          <w:bCs/>
          <w:szCs w:val="20"/>
        </w:rPr>
      </w:pPr>
      <w:r w:rsidRPr="00CD39CB">
        <w:rPr>
          <w:rFonts w:ascii="Times New Roman" w:hAnsi="Times New Roman" w:cs="Bookman Old Style"/>
          <w:b/>
          <w:bCs/>
          <w:szCs w:val="20"/>
        </w:rPr>
        <w:t>Ref.: EDIÇÃO DE MEDIDA PROVISÓRIA – RELEVÂNCIA E URGÊNCIA - ADIAMENTO DA DATA DEFINIDA PARA MIGRAÇÃO – FUNPRESPJUD</w:t>
      </w:r>
    </w:p>
    <w:p w:rsidR="00DE0A56" w:rsidRPr="00CD39CB" w:rsidRDefault="00DE0A56" w:rsidP="00DE0A56">
      <w:pPr>
        <w:pStyle w:val="standard"/>
        <w:jc w:val="both"/>
        <w:rPr>
          <w:rFonts w:eastAsia="Times New Roman"/>
          <w:sz w:val="24"/>
          <w:szCs w:val="24"/>
        </w:rPr>
      </w:pPr>
    </w:p>
    <w:p w:rsidR="00DE0A56" w:rsidRPr="00CD39CB" w:rsidRDefault="00DE0A56" w:rsidP="00DE0A56">
      <w:pPr>
        <w:pStyle w:val="standard"/>
        <w:jc w:val="both"/>
        <w:rPr>
          <w:rFonts w:eastAsia="Times New Roman"/>
          <w:sz w:val="24"/>
          <w:szCs w:val="24"/>
        </w:rPr>
      </w:pPr>
      <w:r w:rsidRPr="00CD39CB">
        <w:rPr>
          <w:rFonts w:eastAsia="Times New Roman"/>
          <w:sz w:val="24"/>
          <w:szCs w:val="24"/>
        </w:rPr>
        <w:tab/>
        <w:t>Senhor Presidente,</w:t>
      </w:r>
    </w:p>
    <w:p w:rsidR="00DE0A56" w:rsidRPr="00CD39CB" w:rsidRDefault="00DE0A56" w:rsidP="00DE0A56">
      <w:pPr>
        <w:spacing w:after="0" w:line="240" w:lineRule="auto"/>
        <w:ind w:firstLine="708"/>
        <w:jc w:val="both"/>
        <w:rPr>
          <w:rFonts w:eastAsia="Times New Roman" w:cs="Calibri"/>
          <w:sz w:val="24"/>
          <w:szCs w:val="24"/>
          <w:lang w:eastAsia="pt-BR"/>
        </w:rPr>
      </w:pPr>
      <w:r w:rsidRPr="00CD39CB">
        <w:rPr>
          <w:rFonts w:eastAsia="Times New Roman" w:cs="Calibri"/>
          <w:b/>
          <w:sz w:val="24"/>
          <w:szCs w:val="24"/>
          <w:lang w:eastAsia="pt-BR"/>
        </w:rPr>
        <w:t>A Associação Nacional dos Magistrados da Justiça do Trabalho (ANAMATRA), Associação dos Juízes Federais do Brasil (AJUFE), a Associação dos Magistrados do a Brasil (AMB), a Associação Nacional dos Procuradores do Trabalho (ANPT), a Associação Nacional dos Procuradores da República (ANPR), a Associação Nacional dos Membros do Ministério Público (CONAMP), Associação dos Magistrados do Distrito Federal e Territórios (AMAGIS), a Associação Nacional do Ministério Público Militar (ANMPM), a Associação dos Membros do Ministério Público do Distrito Federal e Territórios (AMPDFT),</w:t>
      </w:r>
      <w:r w:rsidRPr="00CD39CB">
        <w:rPr>
          <w:rFonts w:eastAsia="Times New Roman" w:cs="Calibri"/>
          <w:sz w:val="24"/>
          <w:szCs w:val="24"/>
          <w:lang w:eastAsia="pt-BR"/>
        </w:rPr>
        <w:t xml:space="preserve"> entidades integrantes da FRENTAS - Frente Associativa da Magistratura e do Ministério Público, representativas de todos juízes e membros do Ministério Público do país, servem-se deste para, com o devido acatamento, externar o que segue.</w:t>
      </w:r>
    </w:p>
    <w:p w:rsidR="00DE0A56" w:rsidRPr="00CD39CB" w:rsidRDefault="00DE0A56" w:rsidP="00DE0A56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:rsidR="00DE0A56" w:rsidRPr="00CD39CB" w:rsidRDefault="00DE0A56" w:rsidP="00DE0A56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CD39CB">
        <w:rPr>
          <w:rFonts w:cs="Calibri"/>
          <w:sz w:val="24"/>
          <w:szCs w:val="24"/>
        </w:rPr>
        <w:tab/>
      </w:r>
      <w:r w:rsidRPr="00CD39CB">
        <w:rPr>
          <w:rFonts w:ascii="Times New Roman" w:eastAsia="Times New Roman" w:hAnsi="Times New Roman" w:cs="Bookman Old Style"/>
          <w:bCs/>
          <w:sz w:val="24"/>
          <w:szCs w:val="24"/>
          <w:lang w:eastAsia="pt-BR"/>
        </w:rPr>
        <w:tab/>
      </w:r>
      <w:r w:rsidRPr="00CD39CB">
        <w:rPr>
          <w:rFonts w:ascii="Times New Roman" w:eastAsia="Times New Roman" w:hAnsi="Times New Roman" w:cs="Bookman Old Style"/>
          <w:b/>
          <w:bCs/>
          <w:sz w:val="24"/>
          <w:szCs w:val="24"/>
          <w:lang w:eastAsia="pt-BR"/>
        </w:rPr>
        <w:t>1</w:t>
      </w:r>
      <w:r w:rsidRPr="00CD39CB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. A Lei nº 12.618, de 30 de abril de 2012, autorizou a criação de entidade fechada de previdência complementar do regime próprio de previdência dos servidores públicos civis ocupantes de cargo efetivo, incluídos os membros do Poder Judiciário, e estabeleceu um prazo de </w:t>
      </w:r>
      <w:r w:rsidRPr="00CD39CB">
        <w:rPr>
          <w:rFonts w:ascii="Times New Roman" w:eastAsia="Times New Roman" w:hAnsi="Times New Roman" w:cs="Arial"/>
          <w:sz w:val="24"/>
          <w:szCs w:val="24"/>
          <w:lang w:eastAsia="pt-BR"/>
        </w:rPr>
        <w:lastRenderedPageBreak/>
        <w:t>24 meses, a contar do início da vigência do regime complementar instituído por ela, para que os interessados fizessem a opção ao regime de previdência complementar:</w:t>
      </w: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DE0A56" w:rsidRPr="00CD39CB" w:rsidRDefault="00DE0A56" w:rsidP="00DE0A56">
      <w:pPr>
        <w:spacing w:after="0" w:line="360" w:lineRule="auto"/>
        <w:ind w:left="2832"/>
        <w:jc w:val="both"/>
        <w:rPr>
          <w:rFonts w:ascii="Times New Roman" w:eastAsia="Times New Roman" w:hAnsi="Times New Roman" w:cs="Arial"/>
          <w:lang w:eastAsia="pt-BR"/>
        </w:rPr>
      </w:pPr>
      <w:r w:rsidRPr="00CD39CB">
        <w:rPr>
          <w:rFonts w:ascii="Times New Roman" w:eastAsia="Times New Roman" w:hAnsi="Times New Roman" w:cs="Arial"/>
          <w:lang w:eastAsia="pt-BR"/>
        </w:rPr>
        <w:t>§ 7</w:t>
      </w:r>
      <w:r w:rsidRPr="00CD39CB">
        <w:rPr>
          <w:rFonts w:ascii="Times New Roman" w:eastAsia="Times New Roman" w:hAnsi="Times New Roman" w:cs="Arial"/>
          <w:u w:val="single"/>
          <w:vertAlign w:val="superscript"/>
          <w:lang w:eastAsia="pt-BR"/>
        </w:rPr>
        <w:t>o</w:t>
      </w:r>
      <w:r w:rsidRPr="00CD39CB">
        <w:rPr>
          <w:rFonts w:ascii="Times New Roman" w:eastAsia="Times New Roman" w:hAnsi="Times New Roman" w:cs="Arial"/>
          <w:lang w:eastAsia="pt-BR"/>
        </w:rPr>
        <w:t xml:space="preserve"> O prazo para a opção de que trata o inciso II do </w:t>
      </w:r>
      <w:r w:rsidRPr="00CD39CB">
        <w:rPr>
          <w:rFonts w:ascii="Times New Roman" w:eastAsia="Times New Roman" w:hAnsi="Times New Roman" w:cs="Arial"/>
          <w:bCs/>
          <w:lang w:eastAsia="pt-BR"/>
        </w:rPr>
        <w:t>caput</w:t>
      </w:r>
      <w:r w:rsidRPr="00CD39CB">
        <w:rPr>
          <w:rFonts w:ascii="Times New Roman" w:eastAsia="Times New Roman" w:hAnsi="Times New Roman" w:cs="Arial"/>
          <w:lang w:eastAsia="pt-BR"/>
        </w:rPr>
        <w:t xml:space="preserve"> deste artigo será de 24 (vinte e quatro) meses, contados a partir do início da vigência do regime de previdência complementar instituído no </w:t>
      </w:r>
      <w:r w:rsidRPr="00CD39CB">
        <w:rPr>
          <w:rFonts w:ascii="Times New Roman" w:eastAsia="Times New Roman" w:hAnsi="Times New Roman" w:cs="Arial"/>
          <w:bCs/>
          <w:lang w:eastAsia="pt-BR"/>
        </w:rPr>
        <w:t>caput</w:t>
      </w:r>
      <w:r w:rsidRPr="00CD39CB">
        <w:rPr>
          <w:rFonts w:ascii="Times New Roman" w:eastAsia="Times New Roman" w:hAnsi="Times New Roman" w:cs="Arial"/>
          <w:lang w:eastAsia="pt-BR"/>
        </w:rPr>
        <w:t xml:space="preserve"> do art. 1</w:t>
      </w:r>
      <w:r w:rsidRPr="00CD39CB">
        <w:rPr>
          <w:rFonts w:ascii="Times New Roman" w:eastAsia="Times New Roman" w:hAnsi="Times New Roman" w:cs="Arial"/>
          <w:u w:val="single"/>
          <w:vertAlign w:val="superscript"/>
          <w:lang w:eastAsia="pt-BR"/>
        </w:rPr>
        <w:t>o</w:t>
      </w:r>
      <w:r w:rsidRPr="00CD39CB">
        <w:rPr>
          <w:rFonts w:ascii="Times New Roman" w:eastAsia="Times New Roman" w:hAnsi="Times New Roman" w:cs="Arial"/>
          <w:lang w:eastAsia="pt-BR"/>
        </w:rPr>
        <w:t xml:space="preserve"> desta Lei.</w:t>
      </w: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eastAsia="Times New Roman" w:hAnsi="Times New Roman" w:cs="Arial"/>
          <w:lang w:eastAsia="pt-BR"/>
        </w:rPr>
      </w:pP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CD39CB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Antes de tal prazo se exaurir, houve ampliação pela via legislativa, isso por mais 24 meses, como se pode observar do art. 92 da Lei n. 13.328/2016:</w:t>
      </w: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DE0A56" w:rsidRPr="00CD39CB" w:rsidRDefault="00DE0A56" w:rsidP="00DE0A56">
      <w:pPr>
        <w:spacing w:after="0" w:line="360" w:lineRule="auto"/>
        <w:ind w:left="2832"/>
        <w:jc w:val="both"/>
        <w:rPr>
          <w:rFonts w:ascii="Times New Roman" w:eastAsia="Times New Roman" w:hAnsi="Times New Roman" w:cs="Arial"/>
          <w:lang w:eastAsia="pt-BR"/>
        </w:rPr>
      </w:pPr>
      <w:r w:rsidRPr="00CD39CB">
        <w:rPr>
          <w:rFonts w:ascii="Times New Roman" w:eastAsia="Times New Roman" w:hAnsi="Times New Roman" w:cs="Arial"/>
          <w:lang w:eastAsia="pt-BR"/>
        </w:rPr>
        <w:t>Art. 92. É reaberto o prazo para opção pelo regime de previdência complementar de que trata o § 7º do art. 3º da Lei n. 12.618, de 30 de abril de 2013, por 24 (vinte e quatro) meses, contados a partir da data de entrada em vigor desta Lei.</w:t>
      </w: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hAnsi="Times New Roman" w:cs="Bookman Old Style"/>
          <w:b/>
          <w:bCs/>
          <w:sz w:val="24"/>
          <w:szCs w:val="24"/>
          <w:lang w:eastAsia="pt-BR"/>
        </w:rPr>
      </w:pP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 w:rsidRPr="00CD39CB">
        <w:rPr>
          <w:rFonts w:ascii="Times New Roman" w:hAnsi="Times New Roman" w:cs="Bookman Old Style"/>
          <w:b/>
          <w:bCs/>
          <w:sz w:val="24"/>
          <w:szCs w:val="24"/>
          <w:lang w:eastAsia="pt-BR"/>
        </w:rPr>
        <w:tab/>
      </w: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t>Em 26 de setembro de 2018, através da MP 853/18, o governo federal, atendendo à reivindicação de várias associações de servidores públicos, prorrogou por mais 180 dias o prazo para migração (opção de transferência para o novo sistema), o qual se finda em 29 de março vindouro.</w:t>
      </w: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DE0A56" w:rsidRPr="00CD39CB" w:rsidRDefault="00DE0A56" w:rsidP="00DE0A56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t>A reivindicação pela prorrogação decorreu de uma somatória de fatores, destacando-se a ausência de regulamentação clara e objetiva sobre os efeitos da transição, bem como, um mecanismo eficaz de aferição do benefício especial devido a cada um dos servidores.</w:t>
      </w:r>
    </w:p>
    <w:p w:rsidR="00DE0A56" w:rsidRPr="00CD39CB" w:rsidRDefault="00DE0A56" w:rsidP="00DE0A56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DE0A56" w:rsidRPr="00CD39CB" w:rsidRDefault="00DE0A56" w:rsidP="00DE0A56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lastRenderedPageBreak/>
        <w:t xml:space="preserve">Decorridos </w:t>
      </w:r>
      <w:r w:rsidRPr="00CD39CB">
        <w:rPr>
          <w:rFonts w:ascii="Times New Roman" w:hAnsi="Times New Roman" w:cs="Bookman Old Style"/>
          <w:b/>
          <w:bCs/>
          <w:sz w:val="24"/>
          <w:szCs w:val="24"/>
          <w:lang w:eastAsia="pt-BR"/>
        </w:rPr>
        <w:t>146</w:t>
      </w: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t xml:space="preserve"> dias da edição da medida provisória, algumas das dificuldades operacionais ainda não foram sanadas e a decisão se tornou ainda mais complexa, dada a anunciada reforma da previdência.</w:t>
      </w:r>
    </w:p>
    <w:p w:rsidR="00DE0A56" w:rsidRPr="00CD39CB" w:rsidRDefault="00DE0A56" w:rsidP="00DE0A56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DE0A56" w:rsidRPr="00CD39CB" w:rsidRDefault="00DE0A56" w:rsidP="00DE0A56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t>Considerando-se que o Poder Executivo ainda não apresentou a versão final de sua proposta de reforma da previdência, aliada às múltiplas variantes que ocorrerão até a formatação definitiva do texto, por parte do Congresso Nacional, os servidores não têm como realizar uma opção segura (irretratável e irreversível) por qualquer um dos sistemas hoje disponibilizados.</w:t>
      </w:r>
    </w:p>
    <w:p w:rsidR="00DE0A56" w:rsidRPr="00CD39CB" w:rsidRDefault="00DE0A56" w:rsidP="00DE0A56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DE0A56" w:rsidRPr="00CD39CB" w:rsidRDefault="00DE0A56" w:rsidP="00DE0A56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t xml:space="preserve">2. As informações veiculadas pelos meios de comunicação indicam alterações substanciais no sistema de seguridade social, relacionadas à idade mínima, tempo de contribuição, regras para o cálculo do benefício, regra de transição, etc. </w:t>
      </w:r>
    </w:p>
    <w:p w:rsidR="00DE0A56" w:rsidRPr="00CD39CB" w:rsidRDefault="00DE0A56" w:rsidP="00DE0A56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DE0A56" w:rsidRPr="00CD39CB" w:rsidRDefault="00DE0A56" w:rsidP="00DE0A56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t>A ausência de regras claras, sobre os muitos fatores indicados acima, retira qualquer possibilidade de opção racional, haja vista que os milhões de optantes desconhecem elementos básicos de aferição, iniciando-se pelos dois mais elementares, quais sejam:</w:t>
      </w:r>
    </w:p>
    <w:p w:rsidR="00DE0A56" w:rsidRPr="00CD39CB" w:rsidRDefault="00DE0A56" w:rsidP="00DE0A56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DE0A56" w:rsidRPr="00CD39CB" w:rsidRDefault="00DE0A56" w:rsidP="00DE0A5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t>Com que idade terei direito à aposentadoria?</w:t>
      </w:r>
    </w:p>
    <w:p w:rsidR="00DE0A56" w:rsidRPr="00CD39CB" w:rsidRDefault="00DE0A56" w:rsidP="00DE0A5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t>Qual o valor do benefício?</w:t>
      </w: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t xml:space="preserve"> </w:t>
      </w: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tab/>
        <w:t>Evidencia-se, a nosso ver, a necessidade de ampliação do prazo para migração, até que a anunciada reforma da previdência seja inteiramente complementada, fornecendo a cada um dos optantes as condições básicas para que exerça, em prazo compatível com a complexidade da decisão, o legítimo direito de escolha ao sistema de sua preferência.</w:t>
      </w: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CB">
        <w:rPr>
          <w:rFonts w:ascii="Times New Roman" w:hAnsi="Times New Roman" w:cs="Bookman Old Style"/>
          <w:bCs/>
          <w:sz w:val="24"/>
          <w:szCs w:val="24"/>
          <w:lang w:eastAsia="pt-BR"/>
        </w:rPr>
        <w:lastRenderedPageBreak/>
        <w:tab/>
        <w:t xml:space="preserve">3. </w:t>
      </w:r>
      <w:r w:rsidRPr="00CD39CB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Como dito, esse novo prazo, que está na iminência de se exaurir (próximo dia 29 do mês de março), não se revelou suficiente. O que se nota é que a observância inflexível do calendário legislativo poderá implicar que, à época do seu advento, os Magistrados - e demais servidores do Poder Judiciário -- ainda não estejam suficientemente preparados para a tomada de decisão de caráter fundamental e de grande impacto individual, profissional e familiar. Nesse diapasão, diante da proximidade do termo fatal para migração, sem que haja elementos efetivos de convicção, abre-se a possibilidade de falta de adesão, ou de adesão inferior ou, ainda, de adesão realizada sem que haja a efetiva segurança quanto à migração (irretratável), culminando, nos anos que virão, em progressiva judicialização da matéria. Exatamente por isso, o que se pretende, </w:t>
      </w:r>
      <w:r w:rsidRPr="00CD39CB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t-BR"/>
        </w:rPr>
        <w:t>como já ocorreu anteriormente</w:t>
      </w:r>
      <w:r w:rsidRPr="00CD39CB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, é que haja prorrogação do prazo para migração, promovendo-se, assim, a alteração do art. 92 da Lei n. 13.328/2016 (que já havia alterado o § 7º do art. 3º da Lei n. 12.618/2013). </w:t>
      </w:r>
    </w:p>
    <w:p w:rsidR="00DE0A56" w:rsidRPr="00CD39CB" w:rsidRDefault="00DE0A56" w:rsidP="00DE0A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0A56" w:rsidRPr="00DE0A56" w:rsidRDefault="00DE0A56" w:rsidP="00DE0A56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t-BR"/>
        </w:rPr>
      </w:pPr>
      <w:r w:rsidRPr="00CD39CB">
        <w:rPr>
          <w:rFonts w:ascii="Times New Roman" w:eastAsia="Times New Roman" w:hAnsi="Times New Roman" w:cs="Arial"/>
          <w:sz w:val="24"/>
          <w:szCs w:val="24"/>
          <w:lang w:eastAsia="pt-BR"/>
        </w:rPr>
        <w:tab/>
      </w:r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>.</w:t>
      </w:r>
      <w:r w:rsidRPr="00DE0A56">
        <w:t xml:space="preserve"> </w:t>
      </w:r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 xml:space="preserve">Compreendida a questão a partir dos parâmetros acima assinalados, a FRENTAS, por intermédio deste, respeitosamente solicita o apoio de Vossa Excelência, bem como do Colégio de Líderes, para que seja prorrogado o prazo para a migração de regime, haja vista a complexidade e as indefinições acerca do sistema previdenciário, que deve ser alterado nos próximos meses. Requer, mais, que, se assim bem parecer a </w:t>
      </w:r>
      <w:proofErr w:type="spellStart"/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>V.</w:t>
      </w:r>
      <w:proofErr w:type="gramStart"/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>Ex.a</w:t>
      </w:r>
      <w:proofErr w:type="spellEnd"/>
      <w:proofErr w:type="gramEnd"/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>, proceda às seguintes medidas, nos termos deste requerimento:</w:t>
      </w:r>
    </w:p>
    <w:p w:rsidR="00DE0A56" w:rsidRPr="00DE0A56" w:rsidRDefault="00DE0A56" w:rsidP="00DE0A56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t-BR"/>
        </w:rPr>
      </w:pPr>
    </w:p>
    <w:p w:rsidR="00DE0A56" w:rsidRPr="00DE0A56" w:rsidRDefault="00DE0A56" w:rsidP="00DE0A56">
      <w:pPr>
        <w:spacing w:after="0" w:line="360" w:lineRule="auto"/>
        <w:ind w:left="708"/>
        <w:jc w:val="both"/>
        <w:rPr>
          <w:rFonts w:ascii="Times New Roman" w:eastAsia="Times New Roman" w:hAnsi="Times New Roman" w:cs="Arial"/>
          <w:bCs/>
          <w:sz w:val="24"/>
          <w:szCs w:val="24"/>
          <w:lang w:eastAsia="pt-BR"/>
        </w:rPr>
      </w:pPr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 xml:space="preserve">​a) que o Plenário possa acolher a Emenda 11 (cópia em anexo), apresentada perante a Comissão Mista da MP n. 853/18, de autoria da deputada Érica </w:t>
      </w:r>
      <w:proofErr w:type="spellStart"/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>Kokay</w:t>
      </w:r>
      <w:proofErr w:type="spellEnd"/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>, prorrogando o prazo de migração para a data de 20 de março de 2020; e/ou</w:t>
      </w:r>
    </w:p>
    <w:p w:rsidR="00DE0A56" w:rsidRPr="00DE0A56" w:rsidRDefault="00DE0A56" w:rsidP="00DE0A56">
      <w:pPr>
        <w:spacing w:after="0" w:line="360" w:lineRule="auto"/>
        <w:ind w:left="708"/>
        <w:jc w:val="both"/>
        <w:rPr>
          <w:rFonts w:ascii="Times New Roman" w:eastAsia="Times New Roman" w:hAnsi="Times New Roman" w:cs="Arial"/>
          <w:bCs/>
          <w:sz w:val="24"/>
          <w:szCs w:val="24"/>
          <w:lang w:eastAsia="pt-BR"/>
        </w:rPr>
      </w:pPr>
    </w:p>
    <w:p w:rsidR="00DE0A56" w:rsidRPr="00DE0A56" w:rsidRDefault="00DE0A56" w:rsidP="00DE0A56">
      <w:pPr>
        <w:spacing w:after="0" w:line="360" w:lineRule="auto"/>
        <w:ind w:left="708"/>
        <w:jc w:val="both"/>
        <w:rPr>
          <w:rFonts w:ascii="Times New Roman" w:eastAsia="Times New Roman" w:hAnsi="Times New Roman" w:cs="Arial"/>
          <w:bCs/>
          <w:sz w:val="24"/>
          <w:szCs w:val="24"/>
          <w:lang w:eastAsia="pt-BR"/>
        </w:rPr>
      </w:pPr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 xml:space="preserve">​b) encaminhe ofício ao Excelentíssimo Senhor Presidente da República, solicitando a edição de nova Medida Provisória, propondo a prorrogação reabertura do prazo de migração para </w:t>
      </w:r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lastRenderedPageBreak/>
        <w:t xml:space="preserve">a data de 20 de março de 2020, conforme permissivo contido no art. 62 da Constituição da República, com um derradeiro adiamento de 24 meses. </w:t>
      </w:r>
    </w:p>
    <w:p w:rsidR="00DE0A56" w:rsidRPr="00DE0A56" w:rsidRDefault="00DE0A56" w:rsidP="00DE0A56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t-BR"/>
        </w:rPr>
      </w:pPr>
    </w:p>
    <w:p w:rsidR="00DE0A56" w:rsidRPr="00DE0A56" w:rsidRDefault="00DE0A56" w:rsidP="00DE0A56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Cs/>
          <w:sz w:val="24"/>
          <w:szCs w:val="24"/>
          <w:lang w:eastAsia="pt-BR"/>
        </w:rPr>
      </w:pPr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 xml:space="preserve">Com efeito, notam-se imediatamente presentes os requisitos da relevância e da urgência. A relevância advém do caráter irretratável da opção pela migração, cumulado com o interesse social e público no êxito da chamada </w:t>
      </w:r>
      <w:proofErr w:type="spellStart"/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>FunprespJud</w:t>
      </w:r>
      <w:proofErr w:type="spellEnd"/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 xml:space="preserve">, que justamente depende do número de adesões e da respectiva segurança jurídica. A urgência resta caracterizada, seja pela </w:t>
      </w:r>
      <w:proofErr w:type="spellStart"/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>peremptoriedade</w:t>
      </w:r>
      <w:proofErr w:type="spellEnd"/>
      <w:r w:rsidRPr="00DE0A56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 xml:space="preserve"> do prazo, seja pela ausência de elementos claros de convicção, levando-se em conta a iminência de alterações substanciais em toda legislação previdenciária, aptas a interferirem na decisão pela migração.</w:t>
      </w:r>
    </w:p>
    <w:p w:rsidR="00DE0A56" w:rsidRPr="00DE0A56" w:rsidRDefault="00DE0A56" w:rsidP="00DE0A56">
      <w:pPr>
        <w:spacing w:after="0" w:line="36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pt-BR"/>
        </w:rPr>
      </w:pPr>
      <w:r w:rsidRPr="00DE0A56">
        <w:rPr>
          <w:rFonts w:ascii="Times New Roman" w:eastAsia="Times New Roman" w:hAnsi="Times New Roman" w:cs="Arial"/>
          <w:b/>
          <w:bCs/>
          <w:sz w:val="24"/>
          <w:szCs w:val="24"/>
          <w:lang w:eastAsia="pt-BR"/>
        </w:rPr>
        <w:t xml:space="preserve"> </w:t>
      </w:r>
    </w:p>
    <w:p w:rsidR="00DE0A56" w:rsidRPr="00CD39CB" w:rsidRDefault="00DE0A56" w:rsidP="00DE0A56">
      <w:pPr>
        <w:spacing w:after="0" w:line="360" w:lineRule="auto"/>
        <w:rPr>
          <w:rFonts w:ascii="Times New Roman" w:hAnsi="Times New Roman" w:cs="Bookman Old Style"/>
          <w:sz w:val="24"/>
          <w:szCs w:val="24"/>
          <w:lang w:eastAsia="pt-BR"/>
        </w:rPr>
      </w:pPr>
      <w:r w:rsidRPr="00CD39CB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Nesses termos, pede e espera deferimento.</w:t>
      </w:r>
      <w:r w:rsidRPr="00CD39CB">
        <w:rPr>
          <w:rFonts w:ascii="Times New Roman" w:hAnsi="Times New Roman" w:cs="Bookman Old Style"/>
          <w:sz w:val="24"/>
          <w:szCs w:val="24"/>
          <w:lang w:eastAsia="pt-BR"/>
        </w:rPr>
        <w:t xml:space="preserve">                                                                           </w:t>
      </w:r>
    </w:p>
    <w:p w:rsidR="00DE0A56" w:rsidRPr="00CD39CB" w:rsidRDefault="00DE0A56" w:rsidP="00DE0A56">
      <w:pPr>
        <w:spacing w:after="0" w:line="360" w:lineRule="auto"/>
        <w:rPr>
          <w:rFonts w:ascii="Times New Roman" w:hAnsi="Times New Roman" w:cs="Bookman Old Style"/>
          <w:sz w:val="24"/>
          <w:szCs w:val="24"/>
          <w:lang w:eastAsia="pt-BR"/>
        </w:rPr>
      </w:pPr>
      <w:r w:rsidRPr="00CD39CB">
        <w:rPr>
          <w:rFonts w:ascii="Times New Roman" w:hAnsi="Times New Roman" w:cs="Bookman Old Style"/>
          <w:sz w:val="24"/>
          <w:szCs w:val="24"/>
          <w:lang w:eastAsia="pt-BR"/>
        </w:rPr>
        <w:tab/>
        <w:t xml:space="preserve">     </w:t>
      </w:r>
    </w:p>
    <w:p w:rsidR="00DE0A56" w:rsidRPr="00CD39CB" w:rsidRDefault="00DE0A56" w:rsidP="00DE0A56">
      <w:pPr>
        <w:spacing w:after="0" w:line="360" w:lineRule="auto"/>
        <w:rPr>
          <w:rFonts w:ascii="Times New Roman" w:hAnsi="Times New Roman" w:cs="Bookman Old Style"/>
          <w:sz w:val="24"/>
          <w:szCs w:val="24"/>
          <w:lang w:eastAsia="pt-BR"/>
        </w:rPr>
      </w:pPr>
      <w:r w:rsidRPr="00CD39CB">
        <w:rPr>
          <w:noProof/>
        </w:rPr>
        <w:drawing>
          <wp:anchor distT="0" distB="0" distL="114300" distR="114300" simplePos="0" relativeHeight="251659264" behindDoc="0" locked="0" layoutInCell="1" allowOverlap="1" wp14:anchorId="7A9C17D9" wp14:editId="514BE6DA">
            <wp:simplePos x="0" y="0"/>
            <wp:positionH relativeFrom="column">
              <wp:posOffset>1958340</wp:posOffset>
            </wp:positionH>
            <wp:positionV relativeFrom="paragraph">
              <wp:posOffset>118745</wp:posOffset>
            </wp:positionV>
            <wp:extent cx="2656205" cy="666750"/>
            <wp:effectExtent l="0" t="0" r="0" b="0"/>
            <wp:wrapNone/>
            <wp:docPr id="2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A56" w:rsidRPr="00CD39CB" w:rsidRDefault="00DE0A56" w:rsidP="00DE0A5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D39CB">
        <w:rPr>
          <w:rFonts w:cs="Calibri"/>
          <w:sz w:val="24"/>
          <w:szCs w:val="24"/>
        </w:rPr>
        <w:t xml:space="preserve"> </w:t>
      </w:r>
    </w:p>
    <w:p w:rsidR="00DE0A56" w:rsidRPr="00CD39CB" w:rsidRDefault="00DE0A56" w:rsidP="00DE0A56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E0A56" w:rsidRPr="00CD39CB" w:rsidRDefault="00DE0A56" w:rsidP="00DE0A56">
      <w:pPr>
        <w:spacing w:after="0"/>
        <w:jc w:val="center"/>
        <w:rPr>
          <w:rFonts w:cs="Calibri"/>
          <w:sz w:val="24"/>
          <w:szCs w:val="24"/>
        </w:rPr>
      </w:pPr>
      <w:r w:rsidRPr="00CD39CB">
        <w:rPr>
          <w:rFonts w:cs="Calibri"/>
          <w:sz w:val="24"/>
          <w:szCs w:val="24"/>
        </w:rPr>
        <w:t>Guilherme Guimarães Feliciano</w:t>
      </w:r>
    </w:p>
    <w:p w:rsidR="00DE0A56" w:rsidRPr="00CD39CB" w:rsidRDefault="00DE0A56" w:rsidP="00DE0A56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Presidente da </w:t>
      </w:r>
      <w:r w:rsidRPr="00CD39CB">
        <w:rPr>
          <w:rFonts w:cs="Calibri"/>
          <w:b/>
          <w:sz w:val="24"/>
          <w:szCs w:val="24"/>
        </w:rPr>
        <w:t xml:space="preserve">Associação Nacional dos Magistrados da Justiça do Trabalho </w:t>
      </w:r>
      <w:r>
        <w:rPr>
          <w:rFonts w:cs="Calibri"/>
          <w:b/>
          <w:sz w:val="24"/>
          <w:szCs w:val="24"/>
        </w:rPr>
        <w:t>–</w:t>
      </w:r>
      <w:r w:rsidRPr="00CD39CB">
        <w:rPr>
          <w:rFonts w:cs="Calibri"/>
          <w:b/>
          <w:sz w:val="24"/>
          <w:szCs w:val="24"/>
        </w:rPr>
        <w:t xml:space="preserve"> ANAMATRA</w:t>
      </w:r>
      <w:r>
        <w:rPr>
          <w:rFonts w:cs="Calibri"/>
          <w:b/>
          <w:sz w:val="24"/>
          <w:szCs w:val="24"/>
        </w:rPr>
        <w:t xml:space="preserve"> e </w:t>
      </w:r>
    </w:p>
    <w:p w:rsidR="00DE0A56" w:rsidRPr="00CD39CB" w:rsidRDefault="00DE0A56" w:rsidP="00DE0A56">
      <w:pPr>
        <w:spacing w:after="0"/>
        <w:jc w:val="center"/>
        <w:rPr>
          <w:rFonts w:cs="Calibri"/>
          <w:b/>
          <w:sz w:val="24"/>
          <w:szCs w:val="24"/>
        </w:rPr>
      </w:pPr>
      <w:r w:rsidRPr="00CD39CB">
        <w:rPr>
          <w:rFonts w:cs="Calibri"/>
          <w:b/>
          <w:sz w:val="24"/>
          <w:szCs w:val="24"/>
        </w:rPr>
        <w:t>Coordenador da FRENTE ASSOCIATIVA DA MAGISTRATURA E DO MINISTÉRIO PÚBLICO</w:t>
      </w:r>
    </w:p>
    <w:p w:rsidR="00DE0A56" w:rsidRPr="00CD39CB" w:rsidRDefault="00DE0A56" w:rsidP="00DE0A56">
      <w:pPr>
        <w:spacing w:after="0"/>
        <w:jc w:val="both"/>
        <w:rPr>
          <w:rFonts w:cs="Calibri"/>
          <w:sz w:val="24"/>
          <w:szCs w:val="24"/>
        </w:rPr>
      </w:pPr>
    </w:p>
    <w:p w:rsidR="00DE0A56" w:rsidRPr="00CD39CB" w:rsidRDefault="00DE0A56" w:rsidP="00DE0A56">
      <w:pPr>
        <w:pStyle w:val="TextosemFormatao"/>
        <w:spacing w:after="720"/>
        <w:contextualSpacing/>
        <w:jc w:val="both"/>
        <w:rPr>
          <w:rFonts w:cs="Calibri"/>
          <w:sz w:val="24"/>
          <w:szCs w:val="24"/>
        </w:rPr>
      </w:pPr>
    </w:p>
    <w:p w:rsidR="00C73D4E" w:rsidRDefault="00C73D4E"/>
    <w:sectPr w:rsidR="00C73D4E">
      <w:headerReference w:type="default" r:id="rId8"/>
      <w:footerReference w:type="default" r:id="rId9"/>
      <w:pgSz w:w="11906" w:h="16838"/>
      <w:pgMar w:top="2328" w:right="1134" w:bottom="2270" w:left="1333" w:header="1701" w:footer="1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54" w:rsidRDefault="001D4D54">
      <w:pPr>
        <w:spacing w:after="0" w:line="240" w:lineRule="auto"/>
      </w:pPr>
      <w:r>
        <w:separator/>
      </w:r>
    </w:p>
  </w:endnote>
  <w:endnote w:type="continuationSeparator" w:id="0">
    <w:p w:rsidR="001D4D54" w:rsidRDefault="001D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DE" w:rsidRPr="001826E6" w:rsidRDefault="001826E6" w:rsidP="001826E6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AE32C1">
          <wp:simplePos x="0" y="0"/>
          <wp:positionH relativeFrom="page">
            <wp:posOffset>0</wp:posOffset>
          </wp:positionH>
          <wp:positionV relativeFrom="margin">
            <wp:posOffset>7106285</wp:posOffset>
          </wp:positionV>
          <wp:extent cx="7289800" cy="1874520"/>
          <wp:effectExtent l="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0" cy="187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54" w:rsidRDefault="001D4D54">
      <w:pPr>
        <w:spacing w:after="0" w:line="240" w:lineRule="auto"/>
      </w:pPr>
      <w:r>
        <w:separator/>
      </w:r>
    </w:p>
  </w:footnote>
  <w:footnote w:type="continuationSeparator" w:id="0">
    <w:p w:rsidR="001D4D54" w:rsidRDefault="001D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DE" w:rsidRDefault="00CA4020">
    <w:pPr>
      <w:pStyle w:val="Cabealho"/>
      <w:rPr>
        <w:lang w:val="pt-PT" w:eastAsia="pt-PT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0F3A58AB" wp14:editId="4C68509E">
          <wp:simplePos x="0" y="0"/>
          <wp:positionH relativeFrom="column">
            <wp:posOffset>-1109345</wp:posOffset>
          </wp:positionH>
          <wp:positionV relativeFrom="paragraph">
            <wp:posOffset>-1080135</wp:posOffset>
          </wp:positionV>
          <wp:extent cx="7559675" cy="1357630"/>
          <wp:effectExtent l="0" t="0" r="3175" b="0"/>
          <wp:wrapSquare wrapText="largest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57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70DE" w:rsidRDefault="002C13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575E"/>
    <w:multiLevelType w:val="hybridMultilevel"/>
    <w:tmpl w:val="B35C51B4"/>
    <w:lvl w:ilvl="0" w:tplc="458EC8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20"/>
    <w:rsid w:val="001826E6"/>
    <w:rsid w:val="001D4D54"/>
    <w:rsid w:val="002C1364"/>
    <w:rsid w:val="00306736"/>
    <w:rsid w:val="00826344"/>
    <w:rsid w:val="00991553"/>
    <w:rsid w:val="00C73D4E"/>
    <w:rsid w:val="00CA4020"/>
    <w:rsid w:val="00D156B9"/>
    <w:rsid w:val="00D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CA51A33-B56D-4ACC-A0F3-822DF176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02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020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1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6B9"/>
    <w:rPr>
      <w:rFonts w:ascii="Calibri" w:eastAsia="Calibri" w:hAnsi="Calibri" w:cs="Times New Roman"/>
      <w:lang w:eastAsia="zh-CN"/>
    </w:rPr>
  </w:style>
  <w:style w:type="paragraph" w:styleId="TextosemFormatao">
    <w:name w:val="Plain Text"/>
    <w:basedOn w:val="Normal"/>
    <w:link w:val="TextosemFormataoChar"/>
    <w:uiPriority w:val="99"/>
    <w:unhideWhenUsed/>
    <w:rsid w:val="00DE0A56"/>
    <w:pPr>
      <w:suppressAutoHyphens w:val="0"/>
      <w:spacing w:after="0" w:line="240" w:lineRule="auto"/>
    </w:pPr>
    <w:rPr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0A56"/>
    <w:rPr>
      <w:rFonts w:ascii="Calibri" w:eastAsia="Calibri" w:hAnsi="Calibri" w:cs="Times New Roman"/>
      <w:szCs w:val="21"/>
    </w:rPr>
  </w:style>
  <w:style w:type="paragraph" w:customStyle="1" w:styleId="standard">
    <w:name w:val="standard"/>
    <w:basedOn w:val="Normal"/>
    <w:rsid w:val="00DE0A56"/>
    <w:pPr>
      <w:suppressAutoHyphens w:val="0"/>
      <w:spacing w:before="100" w:beforeAutospacing="1" w:after="100" w:afterAutospacing="1" w:line="240" w:lineRule="auto"/>
    </w:pPr>
    <w:rPr>
      <w:rFonts w:cs="Calibri"/>
      <w:lang w:eastAsia="pt-BR"/>
    </w:rPr>
  </w:style>
  <w:style w:type="paragraph" w:styleId="Corpodetexto">
    <w:name w:val="Body Text"/>
    <w:basedOn w:val="Normal"/>
    <w:link w:val="CorpodetextoChar"/>
    <w:rsid w:val="00DE0A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DE0A56"/>
    <w:rPr>
      <w:rFonts w:ascii="Times New Roman" w:eastAsia="Times New Roman" w:hAnsi="Times New Roman" w:cs="Times New Roman"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Lacerda</dc:creator>
  <cp:keywords/>
  <dc:description/>
  <cp:lastModifiedBy>Elisangela Lacerda</cp:lastModifiedBy>
  <cp:revision>2</cp:revision>
  <dcterms:created xsi:type="dcterms:W3CDTF">2019-02-18T16:58:00Z</dcterms:created>
  <dcterms:modified xsi:type="dcterms:W3CDTF">2019-02-18T16:58:00Z</dcterms:modified>
</cp:coreProperties>
</file>