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22639" w14:textId="77777777" w:rsidR="00E6024C" w:rsidRDefault="00E6024C" w:rsidP="00B00C3B">
      <w:pPr>
        <w:jc w:val="center"/>
        <w:rPr>
          <w:b/>
        </w:rPr>
      </w:pPr>
    </w:p>
    <w:p w14:paraId="01C11A0C" w14:textId="77777777" w:rsidR="00E6024C" w:rsidRDefault="00E6024C" w:rsidP="00E6024C">
      <w:pPr>
        <w:rPr>
          <w:b/>
          <w:bCs/>
        </w:rPr>
      </w:pPr>
      <w:r w:rsidRPr="00E6024C">
        <w:rPr>
          <w:b/>
          <w:bCs/>
          <w:u w:val="single"/>
        </w:rPr>
        <w:t>TESE</w:t>
      </w:r>
      <w:r>
        <w:rPr>
          <w:b/>
          <w:bCs/>
        </w:rPr>
        <w:t>:     JUÍZES NÃO SÃO SERVIDORES PÚBLICOS. PARIDADE E INTEGRALIDADE DE VENCIMENTOS, NA APOSENTADORIA, DECORREM DE GARANTIA (IMUNIDADE) DA VITALICIEDADE. EC 21, NO QUE SE REFERE AO ART.93, VI, DA CF, NÃO É AUTOAPLICÁVEL, DEPENDENDO DE RECEPÇÃO PELA LOMAN, NAQUILO QUE COUBER. INEFICÁCIA DA ALTERAÇÃO INTRODUZIDA NO INC. VI, DO ART. 93, DA CF, PREVALECENDO, ATÉ ALTERAÇÃO VÁLIDA PELO STF, O DISPOSTO NO ART. 74, DA LC 35/79.</w:t>
      </w:r>
    </w:p>
    <w:p w14:paraId="681100D2" w14:textId="77777777" w:rsidR="00E6024C" w:rsidRDefault="00E6024C" w:rsidP="00B00C3B">
      <w:pPr>
        <w:jc w:val="center"/>
        <w:rPr>
          <w:b/>
        </w:rPr>
      </w:pPr>
    </w:p>
    <w:p w14:paraId="6F59568C" w14:textId="77777777" w:rsidR="00E6024C" w:rsidRDefault="00E6024C" w:rsidP="00B00C3B">
      <w:pPr>
        <w:jc w:val="center"/>
        <w:rPr>
          <w:b/>
        </w:rPr>
      </w:pPr>
    </w:p>
    <w:p w14:paraId="515A3D08" w14:textId="77777777" w:rsidR="007F0B67" w:rsidRPr="00B00C3B" w:rsidRDefault="007F0B67" w:rsidP="00E6024C">
      <w:pPr>
        <w:jc w:val="left"/>
        <w:rPr>
          <w:b/>
        </w:rPr>
      </w:pPr>
      <w:r w:rsidRPr="00B00C3B">
        <w:rPr>
          <w:b/>
        </w:rPr>
        <w:t>RESUMO:</w:t>
      </w:r>
    </w:p>
    <w:p w14:paraId="0DE445A2" w14:textId="77777777" w:rsidR="00B00C3B" w:rsidRDefault="00B00C3B" w:rsidP="00B00C3B">
      <w:pPr>
        <w:jc w:val="center"/>
      </w:pPr>
    </w:p>
    <w:p w14:paraId="095016A5" w14:textId="77777777" w:rsidR="0001564A" w:rsidRDefault="007F0B67" w:rsidP="009F429D">
      <w:r>
        <w:t>1.-</w:t>
      </w:r>
      <w:r>
        <w:tab/>
      </w:r>
      <w:r>
        <w:tab/>
        <w:t xml:space="preserve">Presentemente, por força de necessidade de adequação as normas decorrentes da Reforma do Judiciário e EC´s 21 e 40, impõe-se ao Supremo Tribunal Federal a elaboração de uma nova Lei Orgânica da Magistratura Nacional, sob o império do constante no art. 93, da Constituição Federal, urge que se reflita sobre a importância de se preservar garantias de independência dos magistrados brasileiros, sob pena de, inclusive, desfigurar-se todo um Poder do Estado. </w:t>
      </w:r>
    </w:p>
    <w:p w14:paraId="608173A8" w14:textId="77777777" w:rsidR="007F0B67" w:rsidRDefault="007F0B67" w:rsidP="007F0B67">
      <w:r>
        <w:t>2,-</w:t>
      </w:r>
      <w:r>
        <w:tab/>
      </w:r>
      <w:r>
        <w:tab/>
        <w:t xml:space="preserve">Conquanto os agentes políticos do Estado devam servir ao público, a expressão </w:t>
      </w:r>
      <w:r>
        <w:rPr>
          <w:b/>
          <w:i/>
        </w:rPr>
        <w:t>servidor público</w:t>
      </w:r>
      <w:r>
        <w:t xml:space="preserve"> é restrita aqueles </w:t>
      </w:r>
      <w:r w:rsidR="009F429D" w:rsidRPr="009F429D">
        <w:t>que mantêm vínculo de trabalho profissional com os órgãos e entidades governamentais, integrados em cargos ou empregos de qualquer delas: União, estados, Distrito Federal, municípios e suas respectivas autarquias, fundações, empresas públicas e sociedades de economia mista.</w:t>
      </w:r>
    </w:p>
    <w:p w14:paraId="613EEB51" w14:textId="77777777" w:rsidR="009F429D" w:rsidRPr="009F429D" w:rsidRDefault="009F429D" w:rsidP="009F429D">
      <w:r>
        <w:t>3.-</w:t>
      </w:r>
      <w:r>
        <w:tab/>
      </w:r>
      <w:r>
        <w:tab/>
      </w:r>
      <w:r w:rsidRPr="009F429D">
        <w:t>A partir da Constituição de 1988, desaparece o conceito de funcionário público, passando-se adotar a designação ampla de servidores públicos, distinguindo-se, no gênero, uma espécie: os servidores públicos civis, que receberam tratamento nos artigos 39 a 41.</w:t>
      </w:r>
    </w:p>
    <w:p w14:paraId="45D662DC" w14:textId="77777777" w:rsidR="009F429D" w:rsidRDefault="009F429D" w:rsidP="009F429D">
      <w:pPr>
        <w:rPr>
          <w:b/>
          <w:i/>
        </w:rPr>
      </w:pPr>
      <w:r>
        <w:t>4.-</w:t>
      </w:r>
      <w:r>
        <w:tab/>
      </w:r>
      <w:r>
        <w:tab/>
        <w:t xml:space="preserve">Por sua natureza, a expressão não engloba os </w:t>
      </w:r>
      <w:r>
        <w:rPr>
          <w:b/>
          <w:i/>
        </w:rPr>
        <w:t xml:space="preserve">agentes políticos </w:t>
      </w:r>
      <w:r w:rsidRPr="009F429D">
        <w:rPr>
          <w:b/>
          <w:i/>
        </w:rPr>
        <w:t>stricto sensu</w:t>
      </w:r>
      <w:r>
        <w:t xml:space="preserve"> do Poder Legislativo (senadores, deputados e vereadores), como do Poder Executivo (presidente da República, ministros de Estado, governadores, secretários de Estado, prefeitos e secretários Municipais), ou do </w:t>
      </w:r>
      <w:r>
        <w:rPr>
          <w:b/>
          <w:i/>
        </w:rPr>
        <w:t>Poder Judiciário.</w:t>
      </w:r>
    </w:p>
    <w:p w14:paraId="4C9B62FE" w14:textId="77777777" w:rsidR="009F429D" w:rsidRDefault="009F429D" w:rsidP="009F429D">
      <w:r>
        <w:t>6.-</w:t>
      </w:r>
      <w:r>
        <w:tab/>
      </w:r>
      <w:r>
        <w:tab/>
        <w:t>Por isso, não são os juízes servidores públicos</w:t>
      </w:r>
      <w:r w:rsidR="00DA5EF1">
        <w:t xml:space="preserve">, ainda que devam bem servir ao público. São eles agentes políticos do Estado, órgão do Poder </w:t>
      </w:r>
      <w:r w:rsidR="00DA5EF1">
        <w:lastRenderedPageBreak/>
        <w:t>Judiciário, pilares da Democracia, das garantias dos indivíduos frente ao Poder Público e, sobretudo, guardiães da própria legalidade e da hierarquia entre os Poderes do Estado.</w:t>
      </w:r>
    </w:p>
    <w:p w14:paraId="003198A6" w14:textId="77777777" w:rsidR="00E6024C" w:rsidRDefault="00DA5EF1" w:rsidP="009F429D">
      <w:r>
        <w:t>7.-</w:t>
      </w:r>
      <w:r>
        <w:tab/>
      </w:r>
      <w:r>
        <w:tab/>
        <w:t xml:space="preserve">Como consequência irretorquível, são os magistrados </w:t>
      </w:r>
      <w:r>
        <w:rPr>
          <w:b/>
        </w:rPr>
        <w:t xml:space="preserve">VITALÍCIOS, </w:t>
      </w:r>
      <w:r>
        <w:t xml:space="preserve">com </w:t>
      </w:r>
      <w:r>
        <w:rPr>
          <w:b/>
        </w:rPr>
        <w:t xml:space="preserve">GARANTIAS </w:t>
      </w:r>
      <w:r>
        <w:t>que não se estendem a outros agentes</w:t>
      </w:r>
    </w:p>
    <w:p w14:paraId="09B9BAC6" w14:textId="77777777" w:rsidR="00DA5EF1" w:rsidRDefault="00DA5EF1" w:rsidP="009F429D">
      <w:r>
        <w:t xml:space="preserve"> políticos, em geral, e servidores públicos, em particular, </w:t>
      </w:r>
      <w:r w:rsidRPr="00DA5EF1">
        <w:rPr>
          <w:b/>
          <w:i/>
          <w:u w:val="single"/>
        </w:rPr>
        <w:t>que com os juízes não se confundem</w:t>
      </w:r>
      <w:r>
        <w:t xml:space="preserve">, eis que os servidores públicos se </w:t>
      </w:r>
      <w:r>
        <w:rPr>
          <w:b/>
          <w:i/>
        </w:rPr>
        <w:t xml:space="preserve">curvam </w:t>
      </w:r>
      <w:r>
        <w:t xml:space="preserve">a ordens, e os demais políticos se </w:t>
      </w:r>
      <w:r>
        <w:rPr>
          <w:b/>
          <w:i/>
        </w:rPr>
        <w:t xml:space="preserve">curvam </w:t>
      </w:r>
      <w:r>
        <w:t xml:space="preserve">as decisões judiciárias, enquanto </w:t>
      </w:r>
      <w:r w:rsidRPr="00DA5EF1">
        <w:rPr>
          <w:b/>
          <w:u w:val="single"/>
        </w:rPr>
        <w:t xml:space="preserve">os magistrados se </w:t>
      </w:r>
      <w:r>
        <w:rPr>
          <w:b/>
          <w:i/>
          <w:u w:val="single"/>
        </w:rPr>
        <w:t>curvam</w:t>
      </w:r>
      <w:r>
        <w:rPr>
          <w:b/>
          <w:u w:val="single"/>
        </w:rPr>
        <w:t xml:space="preserve"> apenas a sua consciência e aos ditamos do Direito estabelecido conforme a Constituição</w:t>
      </w:r>
      <w:r>
        <w:t>.</w:t>
      </w:r>
    </w:p>
    <w:p w14:paraId="353F06B0" w14:textId="77777777" w:rsidR="00DA5EF1" w:rsidRDefault="00DA5EF1" w:rsidP="009F429D">
      <w:r>
        <w:t>8.-</w:t>
      </w:r>
      <w:r>
        <w:tab/>
      </w:r>
      <w:r>
        <w:tab/>
        <w:t xml:space="preserve">E dentre essas garantias está a </w:t>
      </w:r>
      <w:r>
        <w:rPr>
          <w:b/>
          <w:i/>
        </w:rPr>
        <w:t xml:space="preserve">integralidade dos vencimentos e, </w:t>
      </w:r>
      <w:r>
        <w:t xml:space="preserve">como consequência inevitável, </w:t>
      </w:r>
      <w:r>
        <w:rPr>
          <w:b/>
          <w:i/>
        </w:rPr>
        <w:t>a p</w:t>
      </w:r>
      <w:r w:rsidR="00E20C6D">
        <w:rPr>
          <w:b/>
          <w:i/>
        </w:rPr>
        <w:t>aridade entre ativos e inativos</w:t>
      </w:r>
      <w:r w:rsidR="00E20C6D">
        <w:t>, estes em virtude de aposentadoria.</w:t>
      </w:r>
    </w:p>
    <w:p w14:paraId="4DF05E1A" w14:textId="77777777" w:rsidR="00E20C6D" w:rsidRDefault="00E20C6D" w:rsidP="009F429D">
      <w:r>
        <w:t>9.-</w:t>
      </w:r>
      <w:r>
        <w:tab/>
      </w:r>
      <w:r>
        <w:tab/>
        <w:t xml:space="preserve">Assim observado e obedecido, independentemente de uma pretensa inconstitucionalidade que se possa antepor a imposição, por via de disposição de um poder constitucional derivado, incompetente por isso, para alterar norma pétrea da Constituição original, a aplicação aos magistrados do “regime geral da previdência” dos servidores públicos, prevista no art. 40, CF, não é autoaplicável aos magistrados, dependendo de ser </w:t>
      </w:r>
      <w:r w:rsidR="00B00C3B">
        <w:t xml:space="preserve">recepcionado  pela LOMAN </w:t>
      </w:r>
      <w:r>
        <w:t>e, portanto, deverá se sujeitar a disciplina regulamentar d</w:t>
      </w:r>
      <w:r w:rsidR="00942143">
        <w:t>a</w:t>
      </w:r>
      <w:r>
        <w:t xml:space="preserve"> Lei Complementar, de iniciativa do Supremo Tribunal Federal.</w:t>
      </w:r>
      <w:r w:rsidR="00B00C3B">
        <w:t xml:space="preserve"> Consequentemente, deve</w:t>
      </w:r>
      <w:r w:rsidR="00D34910">
        <w:t>-</w:t>
      </w:r>
      <w:r w:rsidR="00B00C3B">
        <w:t xml:space="preserve">se ter como </w:t>
      </w:r>
      <w:r w:rsidR="00D34910">
        <w:t>ineficaz, para os fins pretendidos pela EC 21, a disposição constante no inc. VI, do Art. 93, da CF.</w:t>
      </w:r>
    </w:p>
    <w:p w14:paraId="1956E3AD" w14:textId="77777777" w:rsidR="00942143" w:rsidRDefault="00D34910" w:rsidP="00942143">
      <w:r>
        <w:t>10.-</w:t>
      </w:r>
      <w:r>
        <w:tab/>
      </w:r>
      <w:r w:rsidR="00942143">
        <w:t>Concluindo, cabe a LOMAN dispor sobre a garantia de vencimentos integrais e paritários aos aposentados, de modo que, não se há de aplicar irrestritamente o art. 40 como sendo regime previdenciário a ser observado pelo STF, na elaboração da LOMAN, de modo que é de rigor</w:t>
      </w:r>
      <w:r w:rsidR="00953D58">
        <w:t xml:space="preserve"> que</w:t>
      </w:r>
      <w:r w:rsidR="00942143">
        <w:t xml:space="preserve"> </w:t>
      </w:r>
      <w:r w:rsidR="00953D58">
        <w:t>seja declarada a GARANTIA</w:t>
      </w:r>
      <w:r w:rsidR="00942143">
        <w:t xml:space="preserve"> a aposentadoria aos magistrados, na forma do disposto </w:t>
      </w:r>
      <w:r w:rsidR="00942143" w:rsidRPr="00942143">
        <w:t>n</w:t>
      </w:r>
      <w:r w:rsidR="00942143">
        <w:t>o</w:t>
      </w:r>
      <w:r w:rsidR="00942143" w:rsidRPr="00942143">
        <w:t xml:space="preserve"> </w:t>
      </w:r>
      <w:bookmarkStart w:id="0" w:name="art74"/>
      <w:bookmarkEnd w:id="0"/>
      <w:r w:rsidR="00942143" w:rsidRPr="00942143">
        <w:t>Art. 74</w:t>
      </w:r>
      <w:r w:rsidR="00942143">
        <w:t>,</w:t>
      </w:r>
      <w:r w:rsidR="00942143" w:rsidRPr="00942143">
        <w:t xml:space="preserve"> Lei Complementar nº </w:t>
      </w:r>
      <w:r w:rsidR="00953D58">
        <w:t>3</w:t>
      </w:r>
      <w:r w:rsidR="00942143" w:rsidRPr="00942143">
        <w:t>5, de 1977</w:t>
      </w:r>
      <w:r w:rsidR="00942143">
        <w:t>:</w:t>
      </w:r>
    </w:p>
    <w:p w14:paraId="356925EF" w14:textId="77777777" w:rsidR="00942143" w:rsidRPr="00942143" w:rsidRDefault="00942143" w:rsidP="00942143">
      <w:pPr>
        <w:ind w:left="1416"/>
      </w:pPr>
      <w:r w:rsidRPr="00953D58">
        <w:rPr>
          <w:b/>
        </w:rPr>
        <w:t>“A aposentadoria dos magistrados vitalícios será compulsória, aos setenta anos de idade ou por invalidez comprovada, e facultativo, após trinta anos de serviço público, com vencimentos integrais</w:t>
      </w:r>
      <w:r>
        <w:t>”</w:t>
      </w:r>
    </w:p>
    <w:p w14:paraId="1DE1239C" w14:textId="77777777" w:rsidR="00D34910" w:rsidRDefault="00D34910" w:rsidP="009F429D">
      <w:r w:rsidRPr="00942143">
        <w:tab/>
      </w:r>
    </w:p>
    <w:p w14:paraId="611FCCB8" w14:textId="77777777" w:rsidR="00E6024C" w:rsidRDefault="00E6024C" w:rsidP="009F429D"/>
    <w:p w14:paraId="1BFD9FC3" w14:textId="77777777" w:rsidR="00E6024C" w:rsidRDefault="00E6024C" w:rsidP="009F429D"/>
    <w:p w14:paraId="6BE6CB69" w14:textId="77777777" w:rsidR="00E6024C" w:rsidRDefault="00E6024C" w:rsidP="009F429D"/>
    <w:p w14:paraId="1016779B" w14:textId="77777777" w:rsidR="00E6024C" w:rsidRDefault="00E6024C" w:rsidP="00E6024C">
      <w:pPr>
        <w:jc w:val="center"/>
        <w:rPr>
          <w:b/>
          <w:u w:val="single"/>
        </w:rPr>
      </w:pPr>
      <w:r w:rsidRPr="00E6024C">
        <w:rPr>
          <w:b/>
          <w:u w:val="single"/>
        </w:rPr>
        <w:t>JUSTIFICATIVA</w:t>
      </w:r>
    </w:p>
    <w:p w14:paraId="48F71D8B" w14:textId="77777777" w:rsidR="00E6024C" w:rsidRDefault="00E6024C" w:rsidP="00E6024C">
      <w:pPr>
        <w:jc w:val="center"/>
        <w:rPr>
          <w:b/>
          <w:u w:val="single"/>
        </w:rPr>
      </w:pPr>
    </w:p>
    <w:p w14:paraId="4B354C17" w14:textId="77777777" w:rsidR="00E6024C" w:rsidRDefault="00E6024C" w:rsidP="00E6024C">
      <w:r>
        <w:t>A esse respeito, mais uma vez nos socorreremos de conceitos e argumentos deduzidos por um colega de toga, o Juiz Alexandre Nery de Oliveira, de Brasília</w:t>
      </w:r>
      <w:r>
        <w:rPr>
          <w:rStyle w:val="Refdenotaderodap"/>
        </w:rPr>
        <w:footnoteReference w:id="1"/>
      </w:r>
      <w:r>
        <w:t xml:space="preserve">, quando alerta para o fato de que, no momento “em que o Congresso Nacional examina a proposta de emenda à Constituição que altera a situação dos juízes ativos e inativos, </w:t>
      </w:r>
      <w:r>
        <w:rPr>
          <w:b/>
          <w:bCs/>
          <w:i/>
          <w:iCs/>
        </w:rPr>
        <w:t>é imperioso refletir da importância de preservar GARANTIAS DE INDEPENDÊNCIA DOS MAGISTRADOS brasileiros, sob pena de, inclusive, DESFIGURAR-SE TODO UM PODER DO ESTADO”</w:t>
      </w:r>
      <w:r>
        <w:t>.</w:t>
      </w:r>
    </w:p>
    <w:p w14:paraId="56B4EC17" w14:textId="77777777" w:rsidR="00E6024C" w:rsidRDefault="00E6024C" w:rsidP="00E6024C"/>
    <w:p w14:paraId="75D2111C" w14:textId="77777777" w:rsidR="00E6024C" w:rsidRDefault="00E6024C" w:rsidP="00E6024C">
      <w:r>
        <w:tab/>
        <w:t xml:space="preserve">Por isso, sustenta que, se “é certo que também os </w:t>
      </w:r>
      <w:r>
        <w:rPr>
          <w:b/>
          <w:bCs/>
          <w:i/>
          <w:iCs/>
        </w:rPr>
        <w:t>agentes políticos</w:t>
      </w:r>
      <w:r>
        <w:t xml:space="preserve"> devem servir ao público, a expressão “</w:t>
      </w:r>
      <w:r>
        <w:rPr>
          <w:b/>
          <w:bCs/>
          <w:i/>
          <w:iCs/>
        </w:rPr>
        <w:t>servidor público”</w:t>
      </w:r>
      <w:r>
        <w:t xml:space="preserve"> passou a </w:t>
      </w:r>
      <w:r>
        <w:rPr>
          <w:b/>
          <w:bCs/>
          <w:i/>
          <w:iCs/>
        </w:rPr>
        <w:t xml:space="preserve">ter conotação restrita </w:t>
      </w:r>
      <w:r>
        <w:t xml:space="preserve">em decorrência da CF/88 (antes, cabe recordar, eram funcionários públicos)”.  Assim é que ela </w:t>
      </w:r>
      <w:r>
        <w:rPr>
          <w:b/>
          <w:bCs/>
        </w:rPr>
        <w:t>NÃO ENGLOBA</w:t>
      </w:r>
      <w:r>
        <w:t>, “</w:t>
      </w:r>
      <w:r>
        <w:rPr>
          <w:b/>
          <w:bCs/>
          <w:i/>
          <w:iCs/>
        </w:rPr>
        <w:t>de modo algum</w:t>
      </w:r>
      <w:r>
        <w:t xml:space="preserve">, sejam os agentes políticos do Poder Legislativo (senadores, deputados e vereadores), sejam do Poder Executivo (presidente da República, ministros de Estado, governadores, secretários de Estado, prefeitos e secretários Municipais), </w:t>
      </w:r>
      <w:r>
        <w:rPr>
          <w:b/>
          <w:bCs/>
          <w:i/>
          <w:iCs/>
        </w:rPr>
        <w:t>sejam do Poder Judiciário (JUÍZES EM TODOS OS GRAUS)</w:t>
      </w:r>
      <w:r>
        <w:t>”.</w:t>
      </w:r>
    </w:p>
    <w:p w14:paraId="16E74873" w14:textId="77777777" w:rsidR="00E6024C" w:rsidRDefault="00E6024C" w:rsidP="00E6024C"/>
    <w:p w14:paraId="41D31F32" w14:textId="77777777" w:rsidR="00E6024C" w:rsidRDefault="00E6024C" w:rsidP="00E6024C">
      <w:r>
        <w:tab/>
      </w:r>
      <w:r>
        <w:tab/>
        <w:t>E arremata:</w:t>
      </w:r>
    </w:p>
    <w:p w14:paraId="5B609C93" w14:textId="77777777" w:rsidR="00E6024C" w:rsidRDefault="00E6024C" w:rsidP="00E6024C"/>
    <w:p w14:paraId="2463A452" w14:textId="77777777" w:rsidR="00E6024C" w:rsidRDefault="00E6024C" w:rsidP="00E6024C">
      <w:pPr>
        <w:ind w:left="1416"/>
        <w:rPr>
          <w:b/>
          <w:bCs/>
          <w:i/>
          <w:iCs/>
        </w:rPr>
      </w:pPr>
      <w:r>
        <w:t>“</w:t>
      </w:r>
      <w:r>
        <w:rPr>
          <w:b/>
          <w:bCs/>
          <w:i/>
          <w:iCs/>
        </w:rPr>
        <w:t>Não são os juízes servidores públicos, ainda que devam bem servir ao público na função de julgar. São os magistrados agentes políticos do Estado, órgãos do Poder Judiciário, pilares da Democracia, garantias do indivíduo frente ao Poder Público e guardiães da própria legalidade e da hierarquia entre os Poderes do Estado”.</w:t>
      </w:r>
    </w:p>
    <w:p w14:paraId="1DA3AD5E" w14:textId="77777777" w:rsidR="00E6024C" w:rsidRDefault="00E6024C" w:rsidP="00E6024C"/>
    <w:p w14:paraId="2B3E9EE1" w14:textId="77777777" w:rsidR="00E6024C" w:rsidRDefault="00E6024C" w:rsidP="00E6024C">
      <w:r>
        <w:tab/>
      </w:r>
      <w:r>
        <w:tab/>
        <w:t>Por isso, como já alertara o ilustre magistrado:</w:t>
      </w:r>
    </w:p>
    <w:p w14:paraId="1C61EC44" w14:textId="77777777" w:rsidR="00E6024C" w:rsidRDefault="00E6024C" w:rsidP="00E6024C"/>
    <w:p w14:paraId="73B1ADF6" w14:textId="77777777" w:rsidR="00E6024C" w:rsidRDefault="00E6024C" w:rsidP="00E6024C">
      <w:pPr>
        <w:ind w:left="1416"/>
      </w:pPr>
      <w:r>
        <w:t xml:space="preserve">“... </w:t>
      </w:r>
      <w:r w:rsidRPr="00A471F2">
        <w:rPr>
          <w:b/>
          <w:i/>
          <w:u w:val="single"/>
        </w:rPr>
        <w:t>é hora de todos</w:t>
      </w:r>
      <w:r>
        <w:t xml:space="preserve"> (mesmo alguns juízes) conscientizarem-se de que são OS MAGISTRADOS agentes políticos do Estado, com a missão de julgar e declinar interpretações da Lei sobre o Direito aplicável, no tentar enunciar preceitos justos, a cada </w:t>
      </w:r>
      <w:r>
        <w:lastRenderedPageBreak/>
        <w:t xml:space="preserve">causa, ainda quando envolva poderosos e francos, ou o próprio Poder Público.  Por isso, são os magistrados </w:t>
      </w:r>
      <w:r w:rsidRPr="00A14F99">
        <w:rPr>
          <w:b/>
        </w:rPr>
        <w:t>VITALÍCIOS</w:t>
      </w:r>
      <w:r>
        <w:t xml:space="preserve">, e por isso têm GARANTIAS que NÃO SE ESTENDEM A OUTROS AGENTES POLÍTICOS, nem a servidores públicos, </w:t>
      </w:r>
      <w:r>
        <w:rPr>
          <w:b/>
          <w:bCs/>
          <w:i/>
          <w:iCs/>
        </w:rPr>
        <w:t>que com os juízes não se confundem,</w:t>
      </w:r>
      <w:r>
        <w:t xml:space="preserve"> tanto assim que os servidores públicos se </w:t>
      </w:r>
      <w:r>
        <w:rPr>
          <w:b/>
          <w:bCs/>
          <w:i/>
          <w:iCs/>
        </w:rPr>
        <w:t>curvam</w:t>
      </w:r>
      <w:r>
        <w:t xml:space="preserve"> a ordens, e os demais políticos se </w:t>
      </w:r>
      <w:r>
        <w:rPr>
          <w:b/>
          <w:bCs/>
          <w:i/>
          <w:iCs/>
        </w:rPr>
        <w:t xml:space="preserve">curvam </w:t>
      </w:r>
      <w:r>
        <w:t xml:space="preserve">as decisões judiciárias, enquanto </w:t>
      </w:r>
      <w:r w:rsidRPr="00A14F99">
        <w:rPr>
          <w:b/>
          <w:u w:val="single"/>
        </w:rPr>
        <w:t xml:space="preserve">os magistrados se </w:t>
      </w:r>
      <w:r w:rsidRPr="00A14F99">
        <w:rPr>
          <w:b/>
          <w:bCs/>
          <w:i/>
          <w:iCs/>
          <w:u w:val="single"/>
        </w:rPr>
        <w:t xml:space="preserve">curvam </w:t>
      </w:r>
      <w:r w:rsidRPr="00A14F99">
        <w:rPr>
          <w:b/>
          <w:u w:val="single"/>
        </w:rPr>
        <w:t>apenas a suas consciências e aos ditames do Direito estabelecido conforme a Constituição</w:t>
      </w:r>
      <w:r>
        <w:t xml:space="preserve">, eis que SÓ A ELES DEFERIU A CARTA MAGNA a </w:t>
      </w:r>
      <w:r>
        <w:rPr>
          <w:b/>
          <w:bCs/>
          <w:i/>
          <w:iCs/>
        </w:rPr>
        <w:t>atribuição maior de dizer o Direito e a Justiça, SÓ A ELES deferiu jurisdição”.</w:t>
      </w:r>
    </w:p>
    <w:p w14:paraId="026BBE97" w14:textId="77777777" w:rsidR="00E6024C" w:rsidRDefault="00E6024C" w:rsidP="00E6024C"/>
    <w:p w14:paraId="7A7B6305" w14:textId="77777777" w:rsidR="00E6024C" w:rsidRDefault="00E6024C" w:rsidP="00E6024C">
      <w:r>
        <w:tab/>
      </w:r>
      <w:r>
        <w:tab/>
        <w:t xml:space="preserve">E dentre estas GARANTIAS está a INTEGRALIDADE DOS PROVENTOS DA APOSENTADORIA, como “um valor supremo perseguido pelo Estado Democrático de Direito, como a justiça e a segurança, ancorado no princípio basilar da separação dos poderes (guindado à condição de cláusula imutável pelo constituinte originário) e este, do seu turno, no da </w:t>
      </w:r>
      <w:r>
        <w:rPr>
          <w:b/>
          <w:bCs/>
          <w:i/>
          <w:iCs/>
        </w:rPr>
        <w:t xml:space="preserve">independência dos juízes, </w:t>
      </w:r>
      <w:r>
        <w:t>que para ser verdadeira e efetiva NECESSITA CONCRETIZAR-SE FORMAL E MATERIALMENTE, o que se dá também é precisamente ATRAVÉS DOS PROVENTOS DE APOSENTADORIA”</w:t>
      </w:r>
      <w:r>
        <w:rPr>
          <w:rStyle w:val="Refdenotaderodap"/>
        </w:rPr>
        <w:footnoteReference w:id="2"/>
      </w:r>
      <w:r>
        <w:t>.</w:t>
      </w:r>
    </w:p>
    <w:p w14:paraId="6A92B18D" w14:textId="77777777" w:rsidR="00E6024C" w:rsidRDefault="00E6024C" w:rsidP="00E6024C"/>
    <w:p w14:paraId="18B24D02" w14:textId="77777777" w:rsidR="00E6024C" w:rsidRDefault="00E6024C" w:rsidP="00E6024C">
      <w:r>
        <w:tab/>
      </w:r>
      <w:r>
        <w:tab/>
        <w:t xml:space="preserve">Ora, por mais esse argumento, ou porque </w:t>
      </w:r>
      <w:r>
        <w:rPr>
          <w:b/>
          <w:bCs/>
        </w:rPr>
        <w:t>não é servidor público</w:t>
      </w:r>
      <w:r>
        <w:t>, inexiste fundamento legal para que se possa determinar o “desconto” dos proventos de aposentadoria de valores para contribuição “para o custeio do regime de que trata o Art. 40 da Constituição Federal”.</w:t>
      </w:r>
    </w:p>
    <w:p w14:paraId="0B4116F4" w14:textId="77777777" w:rsidR="00E6024C" w:rsidRDefault="00E6024C" w:rsidP="00E6024C"/>
    <w:p w14:paraId="5B1A3E38" w14:textId="77777777" w:rsidR="00E6024C" w:rsidRDefault="00E6024C" w:rsidP="00E6024C">
      <w:r>
        <w:tab/>
      </w:r>
      <w:r>
        <w:tab/>
        <w:t xml:space="preserve">Efetivamente, se é certo que, mesmo atentando aos princípios da independência e da separação dos Poderes, como já alertado por Grijalbo Coutinho, através da EC 21 modificou-se a disposição do Art. 93, inciso VI, no sentido de aplicar-se aos magistrados o regime geral da previdência, do Art. 40 da Constituição Federal, não menos certo é que </w:t>
      </w:r>
      <w:r>
        <w:rPr>
          <w:b/>
          <w:bCs/>
        </w:rPr>
        <w:t>ficou expressamente consignado</w:t>
      </w:r>
      <w:r>
        <w:t xml:space="preserve"> que, em se tratando de magistrado, a regulamentação do respectivo regime, </w:t>
      </w:r>
      <w:r>
        <w:rPr>
          <w:b/>
          <w:bCs/>
          <w:i/>
          <w:iCs/>
        </w:rPr>
        <w:t xml:space="preserve">observado o disposto no art. 40, DEVERÁ SER DISPOSTA ATRAVÉS DE </w:t>
      </w:r>
      <w:r>
        <w:rPr>
          <w:b/>
          <w:bCs/>
          <w:i/>
          <w:iCs/>
          <w:u w:val="single"/>
        </w:rPr>
        <w:t>LEI COMPLEMENTAR, DE INICIATIVA DO SUPREMO TRIBUNAL FEDERAL</w:t>
      </w:r>
      <w:r>
        <w:t>.</w:t>
      </w:r>
    </w:p>
    <w:p w14:paraId="18D1D14C" w14:textId="77777777" w:rsidR="00E6024C" w:rsidRDefault="00E6024C" w:rsidP="00E6024C"/>
    <w:p w14:paraId="44571A1D" w14:textId="77777777" w:rsidR="00E6024C" w:rsidRDefault="00E6024C" w:rsidP="00E6024C">
      <w:r>
        <w:lastRenderedPageBreak/>
        <w:tab/>
      </w:r>
      <w:r>
        <w:tab/>
        <w:t xml:space="preserve">Assim, portanto, tratando-se de princípio, </w:t>
      </w:r>
      <w:r>
        <w:rPr>
          <w:b/>
          <w:bCs/>
          <w:i/>
          <w:iCs/>
        </w:rPr>
        <w:t>a ser observado em Lei Orgânica da Magistratura, DE EXCLUSIVA INICIATIVA</w:t>
      </w:r>
      <w:r>
        <w:rPr>
          <w:b/>
          <w:bCs/>
        </w:rPr>
        <w:t xml:space="preserve"> </w:t>
      </w:r>
      <w:r>
        <w:rPr>
          <w:b/>
          <w:bCs/>
          <w:u w:val="single"/>
        </w:rPr>
        <w:t>LEGISLATIVA</w:t>
      </w:r>
      <w:r>
        <w:rPr>
          <w:b/>
          <w:bCs/>
          <w:i/>
          <w:iCs/>
        </w:rPr>
        <w:t xml:space="preserve"> DO SUPREMO TRIBUNAL FEDERAL</w:t>
      </w:r>
      <w:r>
        <w:t xml:space="preserve">, o inciso VI, do artigo 93, </w:t>
      </w:r>
      <w:r w:rsidRPr="00DA3E22">
        <w:rPr>
          <w:b/>
          <w:bCs/>
          <w:u w:val="single"/>
        </w:rPr>
        <w:t>NÃO É AUTOEXECUTÁVEL</w:t>
      </w:r>
      <w:r>
        <w:t>.</w:t>
      </w:r>
    </w:p>
    <w:p w14:paraId="5C91ABA4" w14:textId="77777777" w:rsidR="00E6024C" w:rsidRDefault="00E6024C" w:rsidP="00E6024C"/>
    <w:p w14:paraId="5B729C00" w14:textId="77777777" w:rsidR="00E6024C" w:rsidRDefault="00E6024C" w:rsidP="00E6024C">
      <w:r>
        <w:tab/>
      </w:r>
      <w:r>
        <w:tab/>
        <w:t xml:space="preserve">Por isso que, não encontramos, no mencionado art. 4º, da EC 41, qualquer referência aos </w:t>
      </w:r>
      <w:r>
        <w:rPr>
          <w:b/>
          <w:bCs/>
          <w:i/>
          <w:iCs/>
        </w:rPr>
        <w:t>membros do Poder Judiciário</w:t>
      </w:r>
      <w:r>
        <w:t>, a par dos “servidores inativos e os pensionistas da União”, como SUJEITOS obrigados à contribuição a que se refere.</w:t>
      </w:r>
    </w:p>
    <w:p w14:paraId="56D79BA4" w14:textId="77777777" w:rsidR="00E6024C" w:rsidRDefault="00E6024C" w:rsidP="00E6024C"/>
    <w:p w14:paraId="287AD525" w14:textId="77777777" w:rsidR="00E6024C" w:rsidRDefault="00E6024C" w:rsidP="00E6024C">
      <w:r>
        <w:tab/>
      </w:r>
      <w:r>
        <w:tab/>
        <w:t xml:space="preserve">E não se diga que a expressão “servidor público” </w:t>
      </w:r>
      <w:r>
        <w:rPr>
          <w:b/>
          <w:bCs/>
          <w:i/>
          <w:iCs/>
        </w:rPr>
        <w:t xml:space="preserve">INCLUI </w:t>
      </w:r>
      <w:r>
        <w:t xml:space="preserve">os magistrados, pois não se pode assim admitir, não apenas pelos argumentos já deduzidos acima, mas, e principalmente, porque, em termos legislativos, sempre que o texto constitucional quer incluir os “membros de qualquer dos Poderes da União, dos Estados, do Distrito Federal e dos Municípios, dos defensores de mandato eletivo e dos demais AGENTES POLÍTICOS”, a eles se refere </w:t>
      </w:r>
      <w:r>
        <w:rPr>
          <w:b/>
          <w:bCs/>
        </w:rPr>
        <w:t>EXPRESSAMENTE</w:t>
      </w:r>
      <w:r>
        <w:t xml:space="preserve"> (cf. Art. 37, XI, da CF; art. 1º, da EC 41).</w:t>
      </w:r>
    </w:p>
    <w:p w14:paraId="0B4FBBDE" w14:textId="77777777" w:rsidR="00E6024C" w:rsidRDefault="00E6024C" w:rsidP="00E6024C"/>
    <w:p w14:paraId="0CE6FBCF" w14:textId="77777777" w:rsidR="00E6024C" w:rsidRDefault="00E6024C" w:rsidP="00E6024C">
      <w:r>
        <w:t>Concluindo, cabe a LOMAN dispor sobre a garantia de vencimentos integrais e paritários aos aposentados, de modo que, não se há de aplicar irrestritamente o art. 40 como sendo regime previdenciário a ser observado pelo STF, na elaboração da LOMAN, de modo que é de rigor a garantia da aposentadoria aos magistrados, voluntariamente, após 30 anos de serviço prestado ou, compulsoriamente, com 75 anos (com a redação dada pela chamada Lei da Bengala), em ambos os casos com vencimentos integrais, na forma do disposto na Lei Complementar nº 75, de 1977.</w:t>
      </w:r>
    </w:p>
    <w:p w14:paraId="1456E49B" w14:textId="77777777" w:rsidR="00E6024C" w:rsidRPr="00E6024C" w:rsidRDefault="00E6024C" w:rsidP="00E6024C">
      <w:pPr>
        <w:spacing w:after="0"/>
        <w:rPr>
          <w:rFonts w:eastAsia="Times New Roman" w:cs="Times New Roman"/>
          <w:b/>
          <w:bCs/>
          <w:szCs w:val="28"/>
          <w:lang w:eastAsia="pt-BR"/>
        </w:rPr>
      </w:pPr>
      <w:r w:rsidRPr="00E6024C">
        <w:rPr>
          <w:rFonts w:eastAsia="Times New Roman" w:cs="Times New Roman"/>
          <w:b/>
          <w:szCs w:val="28"/>
          <w:u w:val="single"/>
          <w:lang w:eastAsia="pt-BR"/>
        </w:rPr>
        <w:t>DA</w:t>
      </w:r>
      <w:r w:rsidRPr="00E6024C">
        <w:rPr>
          <w:rFonts w:eastAsia="Times New Roman" w:cs="Times New Roman"/>
          <w:b/>
          <w:bCs/>
          <w:szCs w:val="28"/>
          <w:u w:val="single"/>
          <w:lang w:eastAsia="pt-BR"/>
        </w:rPr>
        <w:t xml:space="preserve"> E.C. Nº 41 E A ADIN Nº 3.105/2004 - STF</w:t>
      </w:r>
      <w:r w:rsidRPr="00E6024C">
        <w:rPr>
          <w:rFonts w:eastAsia="Times New Roman" w:cs="Times New Roman"/>
          <w:b/>
          <w:bCs/>
          <w:szCs w:val="28"/>
          <w:lang w:eastAsia="pt-BR"/>
        </w:rPr>
        <w:t>.</w:t>
      </w:r>
    </w:p>
    <w:p w14:paraId="648CCED2" w14:textId="77777777" w:rsidR="00E6024C" w:rsidRPr="00E6024C" w:rsidRDefault="00E6024C" w:rsidP="00E6024C">
      <w:pPr>
        <w:spacing w:after="0"/>
        <w:rPr>
          <w:rFonts w:eastAsia="Times New Roman" w:cs="Times New Roman"/>
          <w:b/>
          <w:bCs/>
          <w:szCs w:val="28"/>
          <w:lang w:eastAsia="pt-BR"/>
        </w:rPr>
      </w:pPr>
    </w:p>
    <w:p w14:paraId="08E73731" w14:textId="77777777" w:rsidR="00E6024C" w:rsidRPr="00E6024C" w:rsidRDefault="00E6024C" w:rsidP="00E6024C">
      <w:pPr>
        <w:spacing w:after="0"/>
        <w:rPr>
          <w:rFonts w:eastAsia="Times New Roman" w:cs="Times New Roman"/>
          <w:b/>
          <w:i/>
          <w:szCs w:val="28"/>
          <w:lang w:eastAsia="pt-BR"/>
        </w:rPr>
      </w:pPr>
      <w:r w:rsidRPr="00E6024C">
        <w:rPr>
          <w:rFonts w:eastAsia="Times New Roman" w:cs="Times New Roman"/>
          <w:bCs/>
          <w:szCs w:val="28"/>
          <w:lang w:eastAsia="pt-BR"/>
        </w:rPr>
        <w:t>Ressalta abrir-se um parêntesis para se examinar a questão a luz da ADIn nº 3.105/2004, julgada em</w:t>
      </w:r>
      <w:r w:rsidRPr="00E6024C">
        <w:rPr>
          <w:rFonts w:eastAsia="Times New Roman" w:cs="Times New Roman"/>
          <w:szCs w:val="28"/>
          <w:lang w:eastAsia="pt-BR"/>
        </w:rPr>
        <w:t xml:space="preserve"> 18/08/2004 pelo Supremo Tribunal Federal, afirmando a CONSTITUCIONALIDADE do Art. 4º, da Emenda Constitucional nº 41, e </w:t>
      </w:r>
      <w:r w:rsidRPr="00E6024C">
        <w:rPr>
          <w:rFonts w:eastAsia="Times New Roman" w:cs="Times New Roman"/>
          <w:b/>
          <w:i/>
          <w:szCs w:val="28"/>
          <w:lang w:eastAsia="pt-BR"/>
        </w:rPr>
        <w:t xml:space="preserve">afastando </w:t>
      </w:r>
      <w:r w:rsidRPr="00E6024C">
        <w:rPr>
          <w:rFonts w:eastAsia="Times New Roman" w:cs="Times New Roman"/>
          <w:szCs w:val="28"/>
          <w:lang w:eastAsia="pt-BR"/>
        </w:rPr>
        <w:t xml:space="preserve"> a alegação de </w:t>
      </w:r>
      <w:r w:rsidRPr="00E6024C">
        <w:rPr>
          <w:rFonts w:eastAsia="Times New Roman" w:cs="Times New Roman"/>
          <w:b/>
          <w:i/>
          <w:szCs w:val="28"/>
          <w:lang w:eastAsia="pt-BR"/>
        </w:rPr>
        <w:t>DIREITO ADQUIRIDO</w:t>
      </w:r>
      <w:r w:rsidRPr="00E6024C">
        <w:rPr>
          <w:rFonts w:eastAsia="Times New Roman" w:cs="Times New Roman"/>
          <w:szCs w:val="28"/>
          <w:lang w:eastAsia="pt-BR"/>
        </w:rPr>
        <w:t xml:space="preserve">, formulada pela Associação Nacional dos Membros do Ministério Público em favor de </w:t>
      </w:r>
      <w:r w:rsidRPr="00E6024C">
        <w:rPr>
          <w:rFonts w:eastAsia="Times New Roman" w:cs="Times New Roman"/>
          <w:b/>
          <w:bCs/>
          <w:i/>
          <w:iCs/>
          <w:szCs w:val="28"/>
          <w:lang w:eastAsia="pt-BR"/>
        </w:rPr>
        <w:t xml:space="preserve">SERVIDORES INATIVOS, e sua REPERCUSSÃO em relação  </w:t>
      </w:r>
      <w:r w:rsidRPr="00E6024C">
        <w:rPr>
          <w:rFonts w:eastAsia="Times New Roman" w:cs="Times New Roman"/>
          <w:b/>
          <w:i/>
          <w:szCs w:val="28"/>
          <w:lang w:eastAsia="pt-BR"/>
        </w:rPr>
        <w:t>à pretensão aqui formulada.</w:t>
      </w:r>
    </w:p>
    <w:p w14:paraId="293D11AB" w14:textId="77777777" w:rsidR="00E6024C" w:rsidRPr="00E6024C" w:rsidRDefault="00E6024C" w:rsidP="00E6024C">
      <w:pPr>
        <w:spacing w:after="0"/>
        <w:rPr>
          <w:rFonts w:eastAsia="Times New Roman" w:cs="Times New Roman"/>
          <w:bCs/>
          <w:szCs w:val="28"/>
          <w:lang w:eastAsia="pt-BR"/>
        </w:rPr>
      </w:pPr>
    </w:p>
    <w:p w14:paraId="26DB8FCF" w14:textId="1E298A51" w:rsidR="00E6024C" w:rsidRPr="00E6024C" w:rsidRDefault="00E6024C" w:rsidP="00E6024C">
      <w:pPr>
        <w:spacing w:after="0"/>
        <w:rPr>
          <w:rFonts w:eastAsia="Times New Roman" w:cs="Times New Roman"/>
          <w:szCs w:val="24"/>
          <w:lang w:eastAsia="pt-BR"/>
        </w:rPr>
      </w:pPr>
      <w:r w:rsidRPr="00E6024C">
        <w:rPr>
          <w:rFonts w:eastAsia="Times New Roman" w:cs="Times New Roman"/>
          <w:szCs w:val="24"/>
          <w:lang w:eastAsia="pt-BR"/>
        </w:rPr>
        <w:t xml:space="preserve">A propósito da IMUNIDADE acima sustentada, o Senhor Ministro CEZAR PELUSO – eminente Relator </w:t>
      </w:r>
      <w:r w:rsidR="00FD023A" w:rsidRPr="00E6024C">
        <w:rPr>
          <w:rFonts w:eastAsia="Times New Roman" w:cs="Times New Roman"/>
          <w:szCs w:val="24"/>
          <w:lang w:eastAsia="pt-BR"/>
        </w:rPr>
        <w:t>– em</w:t>
      </w:r>
      <w:r w:rsidRPr="00E6024C">
        <w:rPr>
          <w:rFonts w:eastAsia="Times New Roman" w:cs="Times New Roman"/>
          <w:szCs w:val="24"/>
          <w:lang w:eastAsia="pt-BR"/>
        </w:rPr>
        <w:t xml:space="preserve"> seu voto vencedor teceu considerações a respeito da </w:t>
      </w:r>
      <w:r w:rsidRPr="00E6024C">
        <w:rPr>
          <w:rFonts w:eastAsia="Times New Roman" w:cs="Times New Roman"/>
          <w:b/>
          <w:szCs w:val="24"/>
          <w:lang w:eastAsia="pt-BR"/>
        </w:rPr>
        <w:t>DIFERENÇA</w:t>
      </w:r>
      <w:r w:rsidRPr="00E6024C">
        <w:rPr>
          <w:rFonts w:eastAsia="Times New Roman" w:cs="Times New Roman"/>
          <w:szCs w:val="24"/>
          <w:lang w:eastAsia="pt-BR"/>
        </w:rPr>
        <w:t xml:space="preserve"> que </w:t>
      </w:r>
      <w:r w:rsidR="00FD023A" w:rsidRPr="00E6024C">
        <w:rPr>
          <w:rFonts w:eastAsia="Times New Roman" w:cs="Times New Roman"/>
          <w:szCs w:val="24"/>
          <w:lang w:eastAsia="pt-BR"/>
        </w:rPr>
        <w:t>existe entre</w:t>
      </w:r>
      <w:r w:rsidRPr="00E6024C">
        <w:rPr>
          <w:rFonts w:eastAsia="Times New Roman" w:cs="Times New Roman"/>
          <w:szCs w:val="24"/>
          <w:lang w:eastAsia="pt-BR"/>
        </w:rPr>
        <w:t xml:space="preserve"> </w:t>
      </w:r>
      <w:r w:rsidRPr="00E6024C">
        <w:rPr>
          <w:rFonts w:eastAsia="Times New Roman" w:cs="Times New Roman"/>
          <w:b/>
          <w:szCs w:val="24"/>
          <w:lang w:eastAsia="pt-BR"/>
        </w:rPr>
        <w:t>DIREITO ADQUIRIDO A REGIME JURÍDICO DE PREVIDÊNCIA</w:t>
      </w:r>
      <w:r w:rsidRPr="00E6024C">
        <w:rPr>
          <w:rFonts w:eastAsia="Times New Roman" w:cs="Times New Roman"/>
          <w:szCs w:val="24"/>
          <w:lang w:eastAsia="pt-BR"/>
        </w:rPr>
        <w:t xml:space="preserve"> e </w:t>
      </w:r>
      <w:r w:rsidRPr="00E6024C">
        <w:rPr>
          <w:rFonts w:eastAsia="Times New Roman" w:cs="Times New Roman"/>
          <w:b/>
          <w:szCs w:val="24"/>
          <w:lang w:eastAsia="pt-BR"/>
        </w:rPr>
        <w:t xml:space="preserve">IMUNIDADE DE </w:t>
      </w:r>
      <w:r w:rsidRPr="00E6024C">
        <w:rPr>
          <w:rFonts w:eastAsia="Times New Roman" w:cs="Times New Roman"/>
          <w:b/>
          <w:szCs w:val="24"/>
          <w:lang w:eastAsia="pt-BR"/>
        </w:rPr>
        <w:lastRenderedPageBreak/>
        <w:t>TRIBUTAÇÃO</w:t>
      </w:r>
      <w:r w:rsidRPr="00E6024C">
        <w:rPr>
          <w:rFonts w:eastAsia="Times New Roman" w:cs="Times New Roman"/>
          <w:szCs w:val="24"/>
          <w:lang w:eastAsia="pt-BR"/>
        </w:rPr>
        <w:t>, razão porque nos permitimos fazer a seguinte transcrição, da parte respectiva:</w:t>
      </w:r>
    </w:p>
    <w:p w14:paraId="5028C500" w14:textId="77777777" w:rsidR="00E6024C" w:rsidRPr="00E6024C" w:rsidRDefault="00E6024C" w:rsidP="00E6024C">
      <w:pPr>
        <w:spacing w:after="0"/>
        <w:rPr>
          <w:rFonts w:eastAsia="Times New Roman" w:cs="Times New Roman"/>
          <w:szCs w:val="28"/>
          <w:lang w:eastAsia="pt-BR"/>
        </w:rPr>
      </w:pPr>
    </w:p>
    <w:p w14:paraId="471A71CF" w14:textId="77777777" w:rsidR="00E6024C" w:rsidRPr="00E6024C" w:rsidRDefault="00E6024C" w:rsidP="00E6024C">
      <w:pPr>
        <w:spacing w:after="0"/>
        <w:ind w:left="1416"/>
        <w:rPr>
          <w:rFonts w:eastAsia="Times New Roman" w:cs="Times New Roman"/>
          <w:szCs w:val="28"/>
          <w:lang w:eastAsia="pt-BR"/>
        </w:rPr>
      </w:pPr>
      <w:r w:rsidRPr="00E6024C">
        <w:rPr>
          <w:rFonts w:eastAsia="Times New Roman" w:cs="Times New Roman"/>
          <w:szCs w:val="28"/>
          <w:lang w:eastAsia="pt-BR"/>
        </w:rPr>
        <w:t xml:space="preserve">“[...] </w:t>
      </w:r>
      <w:r w:rsidRPr="00E6024C">
        <w:rPr>
          <w:rFonts w:eastAsia="Times New Roman" w:cs="Times New Roman"/>
          <w:b/>
          <w:i/>
          <w:szCs w:val="28"/>
          <w:lang w:eastAsia="pt-BR"/>
        </w:rPr>
        <w:t>o direito adquirido ou exaurido</w:t>
      </w:r>
      <w:r w:rsidRPr="00E6024C">
        <w:rPr>
          <w:rFonts w:eastAsia="Times New Roman" w:cs="Times New Roman"/>
          <w:szCs w:val="28"/>
          <w:lang w:eastAsia="pt-BR"/>
        </w:rPr>
        <w:t xml:space="preserve">, não precisaria dizê-lo, só se caracteriza como </w:t>
      </w:r>
      <w:r w:rsidRPr="00E6024C">
        <w:rPr>
          <w:rFonts w:eastAsia="Times New Roman" w:cs="Times New Roman"/>
          <w:b/>
          <w:szCs w:val="28"/>
          <w:lang w:eastAsia="pt-BR"/>
        </w:rPr>
        <w:t>situação tutelada</w:t>
      </w:r>
      <w:r w:rsidRPr="00E6024C">
        <w:rPr>
          <w:rFonts w:eastAsia="Times New Roman" w:cs="Times New Roman"/>
          <w:szCs w:val="28"/>
          <w:lang w:eastAsia="pt-BR"/>
        </w:rPr>
        <w:t xml:space="preserve">, INVULNERÁVEL À EFICÁCIA DA LEI NOVA, quando haja </w:t>
      </w:r>
      <w:r w:rsidRPr="00E6024C">
        <w:rPr>
          <w:rFonts w:eastAsia="Times New Roman" w:cs="Times New Roman"/>
          <w:b/>
          <w:bCs/>
          <w:i/>
          <w:iCs/>
          <w:szCs w:val="28"/>
          <w:lang w:eastAsia="pt-BR"/>
        </w:rPr>
        <w:t>norma jurídica que o contemple como tal</w:t>
      </w:r>
      <w:r w:rsidRPr="00E6024C">
        <w:rPr>
          <w:rFonts w:eastAsia="Times New Roman" w:cs="Times New Roman"/>
          <w:szCs w:val="28"/>
          <w:lang w:eastAsia="pt-BR"/>
        </w:rPr>
        <w:t xml:space="preserve"> no segundo membro de sua estrutura lingüística (proposição normativa), como conseqüência jurídica da perfeita realização histórica (fattispecie concreta) do fato hipotético previsto, como tipo (fattispecie abstrata), no primeiro membro da proposição normativa”.</w:t>
      </w:r>
    </w:p>
    <w:p w14:paraId="5C8CDFC0" w14:textId="77777777" w:rsidR="00E6024C" w:rsidRPr="00E6024C" w:rsidRDefault="00E6024C" w:rsidP="00E6024C">
      <w:pPr>
        <w:spacing w:after="0"/>
        <w:ind w:left="1416"/>
        <w:rPr>
          <w:rFonts w:eastAsia="Times New Roman" w:cs="Times New Roman"/>
          <w:szCs w:val="28"/>
          <w:lang w:eastAsia="pt-BR"/>
        </w:rPr>
      </w:pPr>
    </w:p>
    <w:p w14:paraId="2370A284" w14:textId="77777777" w:rsidR="00E6024C" w:rsidRPr="00E6024C" w:rsidRDefault="00E6024C" w:rsidP="00E6024C">
      <w:pPr>
        <w:spacing w:after="0"/>
        <w:ind w:left="1416"/>
        <w:rPr>
          <w:rFonts w:eastAsia="Times New Roman" w:cs="Times New Roman"/>
          <w:szCs w:val="28"/>
          <w:lang w:eastAsia="pt-BR"/>
        </w:rPr>
      </w:pPr>
      <w:r w:rsidRPr="00E6024C">
        <w:rPr>
          <w:rFonts w:eastAsia="Times New Roman" w:cs="Times New Roman"/>
          <w:szCs w:val="28"/>
          <w:lang w:eastAsia="pt-BR"/>
        </w:rPr>
        <w:tab/>
        <w:t>Talvez conviesse recordar ao propósito, conquanto em esquema simplificado, que toda norma jurídica prática, cuja vocação está em induzir comportamento, prevê, na primeira cláusula de sua formulação lingüística, enunciada em termos típicos, mas complexos, fato ou fatos de possível ocorrência histórica (</w:t>
      </w:r>
      <w:r w:rsidRPr="00E6024C">
        <w:rPr>
          <w:rFonts w:eastAsia="Times New Roman" w:cs="Times New Roman"/>
          <w:i/>
          <w:iCs/>
          <w:szCs w:val="28"/>
          <w:lang w:eastAsia="pt-BR"/>
        </w:rPr>
        <w:t>fattispecie</w:t>
      </w:r>
      <w:r w:rsidRPr="00E6024C">
        <w:rPr>
          <w:rFonts w:eastAsia="Times New Roman" w:cs="Times New Roman"/>
          <w:szCs w:val="28"/>
          <w:lang w:eastAsia="pt-BR"/>
        </w:rPr>
        <w:t xml:space="preserve"> abstrata), e liga à sua realização completa no mundo físico (</w:t>
      </w:r>
      <w:r w:rsidRPr="00E6024C">
        <w:rPr>
          <w:rFonts w:eastAsia="Times New Roman" w:cs="Times New Roman"/>
          <w:i/>
          <w:iCs/>
          <w:szCs w:val="28"/>
          <w:lang w:eastAsia="pt-BR"/>
        </w:rPr>
        <w:t>fattispecie</w:t>
      </w:r>
      <w:r w:rsidRPr="00E6024C">
        <w:rPr>
          <w:rFonts w:eastAsia="Times New Roman" w:cs="Times New Roman"/>
          <w:szCs w:val="28"/>
          <w:lang w:eastAsia="pt-BR"/>
        </w:rPr>
        <w:t xml:space="preserve"> concreta), por imputação ideal (</w:t>
      </w:r>
      <w:r w:rsidRPr="00E6024C">
        <w:rPr>
          <w:rFonts w:eastAsia="Times New Roman" w:cs="Times New Roman"/>
          <w:i/>
          <w:szCs w:val="28"/>
          <w:lang w:eastAsia="pt-BR"/>
        </w:rPr>
        <w:t xml:space="preserve">causalidade normativa), </w:t>
      </w:r>
      <w:r w:rsidRPr="00E6024C">
        <w:rPr>
          <w:rFonts w:eastAsia="Times New Roman" w:cs="Times New Roman"/>
          <w:szCs w:val="28"/>
          <w:lang w:eastAsia="pt-BR"/>
        </w:rPr>
        <w:t xml:space="preserve">na segunda cláusula, a produção de certo efeito ou efeitos jurídicos, redutíveis, de regra </w:t>
      </w:r>
      <w:r w:rsidRPr="00E6024C">
        <w:rPr>
          <w:rFonts w:eastAsia="Times New Roman" w:cs="Times New Roman"/>
          <w:b/>
          <w:bCs/>
          <w:i/>
          <w:iCs/>
          <w:szCs w:val="28"/>
          <w:lang w:eastAsia="pt-BR"/>
        </w:rPr>
        <w:t>às categorias conceituais de obrigações ou de direitos subjetivos</w:t>
      </w:r>
      <w:r w:rsidRPr="00E6024C">
        <w:rPr>
          <w:rFonts w:eastAsia="Times New Roman" w:cs="Times New Roman"/>
          <w:szCs w:val="28"/>
          <w:lang w:eastAsia="pt-BR"/>
        </w:rPr>
        <w:t>.</w:t>
      </w:r>
    </w:p>
    <w:p w14:paraId="33176CA8" w14:textId="77777777" w:rsidR="00E6024C" w:rsidRPr="00E6024C" w:rsidRDefault="00E6024C" w:rsidP="00E6024C">
      <w:pPr>
        <w:spacing w:after="0"/>
        <w:ind w:left="1416"/>
        <w:rPr>
          <w:rFonts w:eastAsia="Times New Roman" w:cs="Times New Roman"/>
          <w:szCs w:val="28"/>
          <w:lang w:eastAsia="pt-BR"/>
        </w:rPr>
      </w:pPr>
    </w:p>
    <w:p w14:paraId="24B0468B" w14:textId="77777777" w:rsidR="00E6024C" w:rsidRPr="00E6024C" w:rsidRDefault="00E6024C" w:rsidP="00E6024C">
      <w:pPr>
        <w:spacing w:after="0"/>
        <w:ind w:left="1416"/>
        <w:rPr>
          <w:rFonts w:eastAsia="Times New Roman" w:cs="Times New Roman"/>
          <w:szCs w:val="28"/>
          <w:lang w:eastAsia="pt-BR"/>
        </w:rPr>
      </w:pPr>
      <w:r w:rsidRPr="00E6024C">
        <w:rPr>
          <w:rFonts w:eastAsia="Times New Roman" w:cs="Times New Roman"/>
          <w:szCs w:val="28"/>
          <w:lang w:eastAsia="pt-BR"/>
        </w:rPr>
        <w:tab/>
        <w:t xml:space="preserve">De modo que, reproduzido na realidade, em toda a sua inteireza, com a ocorrência do fato, o modelo ou tipo normativo, descrito como hipotético na primeira cláusula, dá-se no mundo jurídico, o fenômeno de </w:t>
      </w:r>
      <w:r w:rsidRPr="00E6024C">
        <w:rPr>
          <w:rFonts w:eastAsia="Times New Roman" w:cs="Times New Roman"/>
          <w:i/>
          <w:iCs/>
          <w:szCs w:val="28"/>
          <w:lang w:eastAsia="pt-BR"/>
        </w:rPr>
        <w:t>incidência</w:t>
      </w:r>
      <w:r w:rsidRPr="00E6024C">
        <w:rPr>
          <w:rFonts w:eastAsia="Times New Roman" w:cs="Times New Roman"/>
          <w:szCs w:val="28"/>
          <w:lang w:eastAsia="pt-BR"/>
        </w:rPr>
        <w:t xml:space="preserve"> da norma sobre o fato (ou </w:t>
      </w:r>
      <w:r w:rsidRPr="00E6024C">
        <w:rPr>
          <w:rFonts w:eastAsia="Times New Roman" w:cs="Times New Roman"/>
          <w:i/>
          <w:iCs/>
          <w:szCs w:val="28"/>
          <w:lang w:eastAsia="pt-BR"/>
        </w:rPr>
        <w:t>subsunção</w:t>
      </w:r>
      <w:r w:rsidRPr="00E6024C">
        <w:rPr>
          <w:rFonts w:eastAsia="Times New Roman" w:cs="Times New Roman"/>
          <w:szCs w:val="28"/>
          <w:lang w:eastAsia="pt-BR"/>
        </w:rPr>
        <w:t xml:space="preserve"> do fato à norma), mediante o qual o fato realizado se </w:t>
      </w:r>
      <w:r w:rsidRPr="00E6024C">
        <w:rPr>
          <w:rFonts w:eastAsia="Times New Roman" w:cs="Times New Roman"/>
          <w:i/>
          <w:iCs/>
          <w:szCs w:val="28"/>
          <w:lang w:eastAsia="pt-BR"/>
        </w:rPr>
        <w:t>jurisdiciza</w:t>
      </w:r>
      <w:r w:rsidRPr="00E6024C">
        <w:rPr>
          <w:rFonts w:eastAsia="Times New Roman" w:cs="Times New Roman"/>
          <w:szCs w:val="28"/>
          <w:lang w:eastAsia="pt-BR"/>
        </w:rPr>
        <w:t xml:space="preserve"> e, fazendo-se jurídico, isto é, </w:t>
      </w:r>
      <w:r w:rsidRPr="00E6024C">
        <w:rPr>
          <w:rFonts w:eastAsia="Times New Roman" w:cs="Times New Roman"/>
          <w:b/>
          <w:bCs/>
          <w:i/>
          <w:iCs/>
          <w:szCs w:val="28"/>
          <w:lang w:eastAsia="pt-BR"/>
        </w:rPr>
        <w:t>DIREITO RECONHECIDO A TITULAR OU TITULARES PERSONALIZADOS</w:t>
      </w:r>
      <w:r w:rsidRPr="00E6024C">
        <w:rPr>
          <w:rFonts w:eastAsia="Times New Roman" w:cs="Times New Roman"/>
          <w:b/>
          <w:bCs/>
          <w:i/>
          <w:iCs/>
          <w:szCs w:val="28"/>
          <w:vertAlign w:val="superscript"/>
          <w:lang w:eastAsia="pt-BR"/>
        </w:rPr>
        <w:footnoteReference w:id="3"/>
      </w:r>
      <w:r w:rsidRPr="00E6024C">
        <w:rPr>
          <w:rFonts w:eastAsia="Times New Roman" w:cs="Times New Roman"/>
          <w:b/>
          <w:bCs/>
          <w:i/>
          <w:iCs/>
          <w:szCs w:val="28"/>
          <w:lang w:eastAsia="pt-BR"/>
        </w:rPr>
        <w:t xml:space="preserve"> </w:t>
      </w:r>
      <w:r w:rsidRPr="00E6024C">
        <w:rPr>
          <w:rFonts w:eastAsia="Times New Roman" w:cs="Times New Roman"/>
          <w:szCs w:val="28"/>
          <w:lang w:eastAsia="pt-BR"/>
        </w:rPr>
        <w:t>(com adjetivo possessivo). Daí afirmar-se:</w:t>
      </w:r>
    </w:p>
    <w:p w14:paraId="198F1059" w14:textId="77777777" w:rsidR="00E6024C" w:rsidRPr="00E6024C" w:rsidRDefault="00E6024C" w:rsidP="00E6024C">
      <w:pPr>
        <w:spacing w:after="0"/>
        <w:rPr>
          <w:rFonts w:eastAsia="Times New Roman" w:cs="Times New Roman"/>
          <w:i/>
          <w:iCs/>
          <w:sz w:val="24"/>
          <w:szCs w:val="28"/>
          <w:lang w:eastAsia="pt-BR"/>
        </w:rPr>
      </w:pPr>
    </w:p>
    <w:p w14:paraId="2072F59C" w14:textId="77777777" w:rsidR="00E6024C" w:rsidRPr="00E6024C" w:rsidRDefault="00E6024C" w:rsidP="00E6024C">
      <w:pPr>
        <w:spacing w:after="0"/>
        <w:ind w:left="2124"/>
        <w:rPr>
          <w:rFonts w:eastAsia="Times New Roman" w:cs="Times New Roman"/>
          <w:i/>
          <w:iCs/>
          <w:szCs w:val="28"/>
          <w:lang w:eastAsia="pt-BR"/>
        </w:rPr>
      </w:pPr>
      <w:r w:rsidRPr="00E6024C">
        <w:rPr>
          <w:rFonts w:eastAsia="Times New Roman" w:cs="Times New Roman"/>
          <w:i/>
          <w:iCs/>
          <w:szCs w:val="28"/>
          <w:lang w:eastAsia="pt-BR"/>
        </w:rPr>
        <w:t>“</w:t>
      </w:r>
      <w:r w:rsidRPr="00E6024C">
        <w:rPr>
          <w:rFonts w:eastAsia="Times New Roman" w:cs="Times New Roman"/>
          <w:b/>
          <w:bCs/>
          <w:i/>
          <w:iCs/>
          <w:szCs w:val="28"/>
          <w:lang w:eastAsia="pt-BR"/>
        </w:rPr>
        <w:t>Inexiste direito subjetivo sem norma incidente sobre fato do homem ou sobre o homem como fato</w:t>
      </w:r>
      <w:r w:rsidRPr="00E6024C">
        <w:rPr>
          <w:rFonts w:eastAsia="Times New Roman" w:cs="Times New Roman"/>
          <w:i/>
          <w:iCs/>
          <w:szCs w:val="28"/>
          <w:lang w:eastAsia="pt-BR"/>
        </w:rPr>
        <w:t xml:space="preserve">: sobre seu mero existir ou sobre conduta sua. </w:t>
      </w:r>
      <w:r w:rsidRPr="00E6024C">
        <w:rPr>
          <w:rFonts w:eastAsia="Times New Roman" w:cs="Times New Roman"/>
          <w:b/>
          <w:bCs/>
          <w:i/>
          <w:iCs/>
          <w:szCs w:val="28"/>
          <w:lang w:eastAsia="pt-BR"/>
        </w:rPr>
        <w:t xml:space="preserve">O direito subjetivo é efeito de fato jurídico, ou de fato que se jurisdicizou: situa-se no lado da relação, que é efeito. </w:t>
      </w:r>
      <w:r w:rsidRPr="00E6024C">
        <w:rPr>
          <w:rFonts w:eastAsia="Times New Roman" w:cs="Times New Roman"/>
          <w:i/>
          <w:iCs/>
          <w:szCs w:val="28"/>
          <w:lang w:eastAsia="pt-BR"/>
        </w:rPr>
        <w:t xml:space="preserve">Isso quer nos direitos subjetivos absolutos, privados ou públicos, quer nos direitos subjetivos relativos”. </w:t>
      </w:r>
    </w:p>
    <w:p w14:paraId="75451BE3" w14:textId="77777777" w:rsidR="00E6024C" w:rsidRPr="00E6024C" w:rsidRDefault="00E6024C" w:rsidP="00E6024C">
      <w:pPr>
        <w:spacing w:after="0"/>
        <w:rPr>
          <w:rFonts w:eastAsia="Times New Roman" w:cs="Times New Roman"/>
          <w:szCs w:val="28"/>
          <w:lang w:eastAsia="pt-BR"/>
        </w:rPr>
      </w:pPr>
    </w:p>
    <w:p w14:paraId="774BD8D6" w14:textId="61747056" w:rsidR="00E6024C" w:rsidRDefault="00E6024C" w:rsidP="00E6024C">
      <w:pPr>
        <w:spacing w:after="0"/>
        <w:rPr>
          <w:rFonts w:eastAsia="Times New Roman" w:cs="Times New Roman"/>
          <w:b/>
          <w:bCs/>
          <w:i/>
          <w:iCs/>
          <w:szCs w:val="28"/>
          <w:lang w:eastAsia="pt-BR"/>
        </w:rPr>
      </w:pPr>
      <w:r w:rsidRPr="00E6024C">
        <w:rPr>
          <w:rFonts w:eastAsia="Times New Roman" w:cs="Times New Roman"/>
          <w:szCs w:val="28"/>
          <w:lang w:eastAsia="pt-BR"/>
        </w:rPr>
        <w:lastRenderedPageBreak/>
        <w:t xml:space="preserve">Dentro de tais conceitos, portanto, ao discriminar o magistrado na norma assecuratória dos </w:t>
      </w:r>
      <w:r w:rsidRPr="00E6024C">
        <w:rPr>
          <w:rFonts w:eastAsia="Times New Roman" w:cs="Times New Roman"/>
          <w:b/>
          <w:bCs/>
          <w:i/>
          <w:iCs/>
          <w:szCs w:val="28"/>
          <w:lang w:eastAsia="pt-BR"/>
        </w:rPr>
        <w:t xml:space="preserve">VENCIMENTOS </w:t>
      </w:r>
      <w:r w:rsidRPr="00E6024C">
        <w:rPr>
          <w:rFonts w:eastAsia="Times New Roman" w:cs="Times New Roman"/>
          <w:b/>
          <w:bCs/>
          <w:i/>
          <w:iCs/>
          <w:caps/>
          <w:szCs w:val="28"/>
          <w:lang w:eastAsia="pt-BR"/>
        </w:rPr>
        <w:t>integrais</w:t>
      </w:r>
      <w:r w:rsidRPr="00E6024C">
        <w:rPr>
          <w:rFonts w:eastAsia="Times New Roman" w:cs="Times New Roman"/>
          <w:szCs w:val="28"/>
          <w:lang w:eastAsia="pt-BR"/>
        </w:rPr>
        <w:t xml:space="preserve"> na aposentadoria, a Constituição Federal, JURISDICIZOU O </w:t>
      </w:r>
      <w:r w:rsidR="00FD023A">
        <w:rPr>
          <w:rFonts w:eastAsia="Times New Roman" w:cs="Times New Roman"/>
          <w:szCs w:val="28"/>
          <w:lang w:eastAsia="pt-BR"/>
        </w:rPr>
        <w:t>MAGISTRADO</w:t>
      </w:r>
      <w:r w:rsidRPr="00E6024C">
        <w:rPr>
          <w:rFonts w:eastAsia="Times New Roman" w:cs="Times New Roman"/>
          <w:szCs w:val="28"/>
          <w:lang w:eastAsia="pt-BR"/>
        </w:rPr>
        <w:t xml:space="preserve"> COMO </w:t>
      </w:r>
      <w:r w:rsidRPr="00E6024C">
        <w:rPr>
          <w:rFonts w:eastAsia="Times New Roman" w:cs="Times New Roman"/>
          <w:b/>
          <w:i/>
          <w:szCs w:val="28"/>
          <w:lang w:eastAsia="pt-BR"/>
        </w:rPr>
        <w:t xml:space="preserve">FATO </w:t>
      </w:r>
      <w:r w:rsidRPr="00E6024C">
        <w:rPr>
          <w:rFonts w:eastAsia="Times New Roman" w:cs="Times New Roman"/>
          <w:szCs w:val="28"/>
          <w:lang w:eastAsia="pt-BR"/>
        </w:rPr>
        <w:t xml:space="preserve">SOBRE QUE DEVE INCIDIR A </w:t>
      </w:r>
      <w:r w:rsidRPr="00E6024C">
        <w:rPr>
          <w:rFonts w:eastAsia="Times New Roman" w:cs="Times New Roman"/>
          <w:b/>
          <w:i/>
          <w:szCs w:val="28"/>
          <w:lang w:eastAsia="pt-BR"/>
        </w:rPr>
        <w:t>NORMA</w:t>
      </w:r>
      <w:r w:rsidRPr="00E6024C">
        <w:rPr>
          <w:rFonts w:eastAsia="Times New Roman" w:cs="Times New Roman"/>
          <w:szCs w:val="28"/>
          <w:lang w:eastAsia="pt-BR"/>
        </w:rPr>
        <w:t xml:space="preserve">, de forma que se deve reconhecê-lo como </w:t>
      </w:r>
      <w:r w:rsidRPr="00E6024C">
        <w:rPr>
          <w:rFonts w:eastAsia="Times New Roman" w:cs="Times New Roman"/>
          <w:b/>
          <w:i/>
          <w:szCs w:val="28"/>
          <w:lang w:eastAsia="pt-BR"/>
        </w:rPr>
        <w:t>TITULAR PERSONALIZADO DE TAL</w:t>
      </w:r>
      <w:r w:rsidRPr="00E6024C">
        <w:rPr>
          <w:rFonts w:eastAsia="Times New Roman" w:cs="Times New Roman"/>
          <w:szCs w:val="28"/>
          <w:lang w:eastAsia="pt-BR"/>
        </w:rPr>
        <w:t xml:space="preserve"> </w:t>
      </w:r>
      <w:r w:rsidRPr="00E6024C">
        <w:rPr>
          <w:rFonts w:eastAsia="Times New Roman" w:cs="Times New Roman"/>
          <w:b/>
          <w:i/>
          <w:szCs w:val="28"/>
          <w:lang w:eastAsia="pt-BR"/>
        </w:rPr>
        <w:t>DIREITO</w:t>
      </w:r>
      <w:r w:rsidRPr="00E6024C">
        <w:rPr>
          <w:rFonts w:eastAsia="Times New Roman" w:cs="Times New Roman"/>
          <w:szCs w:val="28"/>
          <w:lang w:eastAsia="pt-BR"/>
        </w:rPr>
        <w:t xml:space="preserve"> (</w:t>
      </w:r>
      <w:r w:rsidRPr="00E6024C">
        <w:rPr>
          <w:rFonts w:eastAsia="Times New Roman" w:cs="Times New Roman"/>
          <w:b/>
          <w:bCs/>
          <w:i/>
          <w:iCs/>
          <w:szCs w:val="28"/>
          <w:lang w:eastAsia="pt-BR"/>
        </w:rPr>
        <w:t>com adjetivo possessivo).</w:t>
      </w:r>
    </w:p>
    <w:p w14:paraId="4FFD9AAE" w14:textId="05F29075" w:rsidR="002A2EE0" w:rsidRDefault="002A2EE0" w:rsidP="00E6024C">
      <w:pPr>
        <w:spacing w:after="0"/>
      </w:pPr>
    </w:p>
    <w:p w14:paraId="68CFC62D" w14:textId="538745A8" w:rsidR="002A2EE0" w:rsidRPr="00E6024C" w:rsidRDefault="002A2EE0" w:rsidP="00E6024C">
      <w:pPr>
        <w:spacing w:after="0"/>
        <w:rPr>
          <w:rFonts w:eastAsia="Times New Roman" w:cs="Times New Roman"/>
          <w:b/>
          <w:bCs/>
          <w:i/>
          <w:iCs/>
          <w:szCs w:val="28"/>
          <w:lang w:eastAsia="pt-BR"/>
        </w:rPr>
      </w:pPr>
      <w:r>
        <w:t xml:space="preserve">Logo, tratando-se uma garantia constitucional, consubstanciada numa </w:t>
      </w:r>
      <w:r>
        <w:rPr>
          <w:b/>
          <w:i/>
        </w:rPr>
        <w:t>imunidade</w:t>
      </w:r>
      <w:r>
        <w:t xml:space="preserve"> concedida por norma expressa da Constituição, ela não pode ser alterada senão por nova norma constitucional originária, não derivada, pois esta se contraporia ao complemento da norma de regência da garantia, de regulamento vinculado pelo Supremo Tribunal Federal, na forma do artigo 93, </w:t>
      </w:r>
      <w:r>
        <w:rPr>
          <w:i/>
        </w:rPr>
        <w:t>caput</w:t>
      </w:r>
      <w:r>
        <w:t>, da Constituição Federal.</w:t>
      </w:r>
    </w:p>
    <w:p w14:paraId="33CA6FDF" w14:textId="77777777" w:rsidR="00E6024C" w:rsidRPr="00E6024C" w:rsidRDefault="00E6024C" w:rsidP="00E6024C">
      <w:pPr>
        <w:spacing w:after="0"/>
        <w:rPr>
          <w:rFonts w:eastAsia="Times New Roman" w:cs="Times New Roman"/>
          <w:b/>
          <w:bCs/>
          <w:i/>
          <w:iCs/>
          <w:szCs w:val="28"/>
          <w:lang w:eastAsia="pt-BR"/>
        </w:rPr>
      </w:pPr>
    </w:p>
    <w:p w14:paraId="456B01BE" w14:textId="77777777" w:rsidR="001E3B82" w:rsidRDefault="002A2EE0" w:rsidP="002A2EE0">
      <w:pPr>
        <w:rPr>
          <w:rFonts w:eastAsia="Times New Roman" w:cs="Times New Roman"/>
          <w:szCs w:val="28"/>
          <w:lang w:eastAsia="pt-BR"/>
        </w:rPr>
      </w:pPr>
      <w:r>
        <w:rPr>
          <w:rFonts w:eastAsia="Times New Roman" w:cs="Times New Roman"/>
          <w:szCs w:val="28"/>
          <w:lang w:eastAsia="pt-BR"/>
        </w:rPr>
        <w:t>Consequentemente</w:t>
      </w:r>
      <w:r w:rsidR="001E3B82">
        <w:rPr>
          <w:rFonts w:eastAsia="Times New Roman" w:cs="Times New Roman"/>
          <w:szCs w:val="28"/>
          <w:lang w:eastAsia="pt-BR"/>
        </w:rPr>
        <w:t>:</w:t>
      </w:r>
    </w:p>
    <w:p w14:paraId="195AE2C9" w14:textId="77777777" w:rsidR="001E3B82" w:rsidRDefault="001E3B82" w:rsidP="002A2EE0">
      <w:r>
        <w:rPr>
          <w:rFonts w:eastAsia="Times New Roman" w:cs="Times New Roman"/>
          <w:szCs w:val="28"/>
          <w:lang w:eastAsia="pt-BR"/>
        </w:rPr>
        <w:t>1.-</w:t>
      </w:r>
      <w:r>
        <w:rPr>
          <w:rFonts w:eastAsia="Times New Roman" w:cs="Times New Roman"/>
          <w:szCs w:val="28"/>
          <w:lang w:eastAsia="pt-BR"/>
        </w:rPr>
        <w:tab/>
      </w:r>
      <w:r>
        <w:rPr>
          <w:rFonts w:eastAsia="Times New Roman" w:cs="Times New Roman"/>
          <w:szCs w:val="28"/>
          <w:lang w:eastAsia="pt-BR"/>
        </w:rPr>
        <w:tab/>
        <w:t>C</w:t>
      </w:r>
      <w:r w:rsidR="002A2EE0">
        <w:t xml:space="preserve">abe a LOMAN, e </w:t>
      </w:r>
      <w:r w:rsidR="002A2EE0" w:rsidRPr="002A2EE0">
        <w:rPr>
          <w:b/>
          <w:i/>
          <w:u w:val="single"/>
        </w:rPr>
        <w:t>apenas a ela</w:t>
      </w:r>
      <w:r w:rsidR="002A2EE0">
        <w:t>, dispor sobre a</w:t>
      </w:r>
      <w:r>
        <w:t>s</w:t>
      </w:r>
      <w:r w:rsidR="002A2EE0">
        <w:t xml:space="preserve"> garantia</w:t>
      </w:r>
      <w:r>
        <w:t>s da magistratura, por força do comando constitucional do Artigo 93, CF;</w:t>
      </w:r>
    </w:p>
    <w:p w14:paraId="7B54EAAB" w14:textId="77777777" w:rsidR="00EB56F2" w:rsidRDefault="001E3B82" w:rsidP="002A2EE0">
      <w:r>
        <w:t>2.-</w:t>
      </w:r>
      <w:r>
        <w:tab/>
      </w:r>
      <w:r>
        <w:tab/>
        <w:t xml:space="preserve">Consequentemente, só ela pode </w:t>
      </w:r>
      <w:r w:rsidR="00EB56F2">
        <w:t>reger a disciplina de</w:t>
      </w:r>
      <w:r>
        <w:t xml:space="preserve"> </w:t>
      </w:r>
      <w:r w:rsidR="002A2EE0">
        <w:t>vencimentos</w:t>
      </w:r>
      <w:r w:rsidR="00EB56F2">
        <w:t xml:space="preserve"> </w:t>
      </w:r>
      <w:r w:rsidR="002A2EE0">
        <w:t>aos aposentados, de modo que, não se há de aplicar irrestritamente a EC 20/98</w:t>
      </w:r>
      <w:r w:rsidR="00EB56F2">
        <w:t>;</w:t>
      </w:r>
    </w:p>
    <w:p w14:paraId="1B8A70CE" w14:textId="77777777" w:rsidR="00EB56F2" w:rsidRDefault="00EB56F2" w:rsidP="002A2EE0">
      <w:r>
        <w:t>3.-</w:t>
      </w:r>
      <w:r>
        <w:tab/>
      </w:r>
      <w:r>
        <w:tab/>
        <w:t>De fato, ao alterar red</w:t>
      </w:r>
      <w:r w:rsidR="002A2EE0">
        <w:t>ação ao artigo 93, inc. VI, d</w:t>
      </w:r>
      <w:r w:rsidR="001E3B82">
        <w:t>a CF, introduzindo o</w:t>
      </w:r>
      <w:r w:rsidR="002A2EE0">
        <w:t xml:space="preserve"> regime previdenciário</w:t>
      </w:r>
      <w:r w:rsidR="001E3B82">
        <w:t xml:space="preserve"> único</w:t>
      </w:r>
      <w:r>
        <w:t xml:space="preserve">, dos servidores públicos para os magistrados, não respeitou a regra dispositiva para </w:t>
      </w:r>
      <w:r w:rsidR="002A2EE0">
        <w:t>a elaboração d</w:t>
      </w:r>
      <w:r>
        <w:t>a LOMAN;</w:t>
      </w:r>
    </w:p>
    <w:p w14:paraId="12EA6BC9" w14:textId="77777777" w:rsidR="00EB56F2" w:rsidRDefault="00EB56F2" w:rsidP="002A2EE0">
      <w:r>
        <w:t>4.-</w:t>
      </w:r>
      <w:r>
        <w:tab/>
      </w:r>
      <w:r>
        <w:tab/>
        <w:t>Consequentemente, n</w:t>
      </w:r>
      <w:r w:rsidR="001E3B82">
        <w:t xml:space="preserve">ão cumprido o quanto imposto no </w:t>
      </w:r>
      <w:r w:rsidR="001E3B82">
        <w:rPr>
          <w:i/>
        </w:rPr>
        <w:t xml:space="preserve">caput </w:t>
      </w:r>
      <w:r w:rsidR="001E3B82">
        <w:t xml:space="preserve">do Art. 93, da CF, </w:t>
      </w:r>
      <w:r>
        <w:t xml:space="preserve">é totalmente </w:t>
      </w:r>
      <w:r w:rsidR="001E3B82">
        <w:t>inefic</w:t>
      </w:r>
      <w:r w:rsidR="002A2EE0">
        <w:t>a</w:t>
      </w:r>
      <w:r w:rsidR="001E3B82">
        <w:t>z a</w:t>
      </w:r>
      <w:r>
        <w:t xml:space="preserve"> pretendida</w:t>
      </w:r>
      <w:r w:rsidR="001E3B82">
        <w:t xml:space="preserve"> alteração</w:t>
      </w:r>
      <w:r>
        <w:t xml:space="preserve"> imediata</w:t>
      </w:r>
      <w:r w:rsidR="001E3B82">
        <w:t xml:space="preserve"> de seu </w:t>
      </w:r>
      <w:r>
        <w:t>inciso</w:t>
      </w:r>
      <w:r w:rsidR="001E3B82">
        <w:t xml:space="preserve"> VI</w:t>
      </w:r>
      <w:r>
        <w:t>;</w:t>
      </w:r>
    </w:p>
    <w:p w14:paraId="2E53747A" w14:textId="7A04A7DA" w:rsidR="002A2EE0" w:rsidRDefault="00EB56F2" w:rsidP="002A2EE0">
      <w:r>
        <w:t>5.-</w:t>
      </w:r>
      <w:r>
        <w:tab/>
      </w:r>
      <w:r>
        <w:tab/>
        <w:t>Isto posto, enquanto não alterada, por iniciativa do Supremo Tribunal Federal</w:t>
      </w:r>
      <w:r w:rsidR="001E3B82">
        <w:t xml:space="preserve">, </w:t>
      </w:r>
      <w:r>
        <w:t xml:space="preserve">deve ser respeitada a </w:t>
      </w:r>
      <w:r w:rsidR="002A2EE0">
        <w:t xml:space="preserve">GARANTIA a aposentadoria aos magistrados, na forma do disposto </w:t>
      </w:r>
      <w:r w:rsidR="002A2EE0" w:rsidRPr="00942143">
        <w:t>n</w:t>
      </w:r>
      <w:r w:rsidR="002A2EE0">
        <w:t>o</w:t>
      </w:r>
      <w:r w:rsidR="002A2EE0" w:rsidRPr="00942143">
        <w:t xml:space="preserve"> Art. 74</w:t>
      </w:r>
      <w:r w:rsidR="002A2EE0">
        <w:t>,</w:t>
      </w:r>
      <w:r w:rsidR="002A2EE0" w:rsidRPr="00942143">
        <w:t xml:space="preserve"> Lei Complementar nº </w:t>
      </w:r>
      <w:r w:rsidR="002A2EE0">
        <w:t>3</w:t>
      </w:r>
      <w:r w:rsidR="002A2EE0" w:rsidRPr="00942143">
        <w:t>5, de 1977</w:t>
      </w:r>
      <w:r w:rsidR="002A2EE0">
        <w:t>:</w:t>
      </w:r>
    </w:p>
    <w:p w14:paraId="52A83034" w14:textId="3FBDCC55" w:rsidR="002A2EE0" w:rsidRDefault="002A2EE0" w:rsidP="002A2EE0">
      <w:pPr>
        <w:ind w:left="1416"/>
      </w:pPr>
      <w:r w:rsidRPr="00953D58">
        <w:rPr>
          <w:b/>
        </w:rPr>
        <w:t>“A aposentadoria dos magistrados vitalícios será compulsória, aos setenta anos de idade ou por invalidez comprovada, e facultativo, após trinta anos de serviço público, com vencimentos integrais</w:t>
      </w:r>
      <w:r>
        <w:t>”.</w:t>
      </w:r>
    </w:p>
    <w:p w14:paraId="1FA84025" w14:textId="77777777" w:rsidR="00EB56F2" w:rsidRDefault="00EB56F2" w:rsidP="002A2EE0">
      <w:pPr>
        <w:ind w:left="1416"/>
      </w:pPr>
    </w:p>
    <w:p w14:paraId="4E1C96CD" w14:textId="75EAF43C" w:rsidR="00E6024C" w:rsidRPr="00E6024C" w:rsidRDefault="00EB56F2" w:rsidP="00E6024C">
      <w:pPr>
        <w:spacing w:after="0"/>
        <w:rPr>
          <w:rFonts w:eastAsia="Times New Roman" w:cs="Times New Roman"/>
          <w:szCs w:val="28"/>
          <w:lang w:eastAsia="pt-BR"/>
        </w:rPr>
      </w:pPr>
      <w:r>
        <w:rPr>
          <w:rFonts w:eastAsia="Times New Roman" w:cs="Times New Roman"/>
          <w:szCs w:val="28"/>
          <w:lang w:eastAsia="pt-BR"/>
        </w:rPr>
        <w:t>6.-</w:t>
      </w:r>
      <w:r>
        <w:rPr>
          <w:rFonts w:eastAsia="Times New Roman" w:cs="Times New Roman"/>
          <w:szCs w:val="28"/>
          <w:lang w:eastAsia="pt-BR"/>
        </w:rPr>
        <w:tab/>
      </w:r>
      <w:r>
        <w:rPr>
          <w:rFonts w:eastAsia="Times New Roman" w:cs="Times New Roman"/>
          <w:szCs w:val="28"/>
          <w:lang w:eastAsia="pt-BR"/>
        </w:rPr>
        <w:tab/>
        <w:t xml:space="preserve">Dessa forma, assim cabe ser declarada </w:t>
      </w:r>
      <w:r>
        <w:rPr>
          <w:rFonts w:eastAsia="Times New Roman" w:cs="Times New Roman"/>
          <w:i/>
          <w:szCs w:val="28"/>
          <w:lang w:eastAsia="pt-BR"/>
        </w:rPr>
        <w:t xml:space="preserve">ex officio </w:t>
      </w:r>
      <w:r>
        <w:t xml:space="preserve">INEFICAZ a alteração em causa, por não recepcionada pela Constituição por força do contido, repita-se, no </w:t>
      </w:r>
      <w:r>
        <w:rPr>
          <w:i/>
        </w:rPr>
        <w:t xml:space="preserve">caput </w:t>
      </w:r>
      <w:r>
        <w:t>do Artigo 93, no que se refere a LOMAN e os direitos e deveres da magistratura.</w:t>
      </w:r>
      <w:bookmarkStart w:id="1" w:name="_GoBack"/>
      <w:bookmarkEnd w:id="1"/>
    </w:p>
    <w:p w14:paraId="39D219C1" w14:textId="77777777" w:rsidR="00E6024C" w:rsidRPr="00E6024C" w:rsidRDefault="00E6024C" w:rsidP="00E6024C">
      <w:pPr>
        <w:rPr>
          <w:b/>
          <w:u w:val="single"/>
        </w:rPr>
      </w:pPr>
    </w:p>
    <w:p w14:paraId="4C32CE70" w14:textId="77777777" w:rsidR="009F429D" w:rsidRPr="009F429D" w:rsidRDefault="009F429D" w:rsidP="009F429D"/>
    <w:sectPr w:rsidR="009F429D" w:rsidRPr="009F429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3D36E" w14:textId="77777777" w:rsidR="00B00C3B" w:rsidRDefault="00B00C3B" w:rsidP="00B00C3B">
      <w:pPr>
        <w:spacing w:after="0"/>
      </w:pPr>
      <w:r>
        <w:separator/>
      </w:r>
    </w:p>
  </w:endnote>
  <w:endnote w:type="continuationSeparator" w:id="0">
    <w:p w14:paraId="02C5FC1D" w14:textId="77777777" w:rsidR="00B00C3B" w:rsidRDefault="00B00C3B" w:rsidP="00B00C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79904"/>
      <w:docPartObj>
        <w:docPartGallery w:val="Page Numbers (Bottom of Page)"/>
        <w:docPartUnique/>
      </w:docPartObj>
    </w:sdtPr>
    <w:sdtEndPr/>
    <w:sdtContent>
      <w:p w14:paraId="551DD5E9" w14:textId="77777777" w:rsidR="00B00C3B" w:rsidRDefault="00B00C3B">
        <w:pPr>
          <w:pStyle w:val="Rodap"/>
          <w:jc w:val="right"/>
        </w:pPr>
        <w:r>
          <w:fldChar w:fldCharType="begin"/>
        </w:r>
        <w:r>
          <w:instrText>PAGE   \* MERGEFORMAT</w:instrText>
        </w:r>
        <w:r>
          <w:fldChar w:fldCharType="separate"/>
        </w:r>
        <w:r w:rsidR="00EB56F2">
          <w:rPr>
            <w:noProof/>
          </w:rPr>
          <w:t>8</w:t>
        </w:r>
        <w:r>
          <w:fldChar w:fldCharType="end"/>
        </w:r>
      </w:p>
    </w:sdtContent>
  </w:sdt>
  <w:p w14:paraId="74A4216E" w14:textId="77777777" w:rsidR="00B00C3B" w:rsidRDefault="00B00C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62374" w14:textId="77777777" w:rsidR="00B00C3B" w:rsidRDefault="00B00C3B" w:rsidP="00B00C3B">
      <w:pPr>
        <w:spacing w:after="0"/>
      </w:pPr>
      <w:r>
        <w:separator/>
      </w:r>
    </w:p>
  </w:footnote>
  <w:footnote w:type="continuationSeparator" w:id="0">
    <w:p w14:paraId="7D2A03E7" w14:textId="77777777" w:rsidR="00B00C3B" w:rsidRDefault="00B00C3B" w:rsidP="00B00C3B">
      <w:pPr>
        <w:spacing w:after="0"/>
      </w:pPr>
      <w:r>
        <w:continuationSeparator/>
      </w:r>
    </w:p>
  </w:footnote>
  <w:footnote w:id="1">
    <w:p w14:paraId="574541A6" w14:textId="77777777" w:rsidR="00E6024C" w:rsidRDefault="00E6024C" w:rsidP="00E6024C">
      <w:pPr>
        <w:pStyle w:val="Textodenotaderodap"/>
      </w:pPr>
      <w:r>
        <w:rPr>
          <w:rStyle w:val="Refdenotaderodap"/>
        </w:rPr>
        <w:footnoteRef/>
      </w:r>
      <w:r>
        <w:t xml:space="preserve"> </w:t>
      </w:r>
      <w:r>
        <w:rPr>
          <w:i/>
          <w:iCs/>
        </w:rPr>
        <w:t>apud</w:t>
      </w:r>
      <w:r>
        <w:t xml:space="preserve"> Artigo “Juízes Não São Funcionários Públicos”, publicado pela Internet, site </w:t>
      </w:r>
      <w:hyperlink r:id="rId1" w:history="1">
        <w:r>
          <w:rPr>
            <w:rStyle w:val="Hyperlink"/>
          </w:rPr>
          <w:t>www.terravista.pt/copacabana</w:t>
        </w:r>
      </w:hyperlink>
      <w:r>
        <w:t>, cópia anexa.</w:t>
      </w:r>
    </w:p>
  </w:footnote>
  <w:footnote w:id="2">
    <w:p w14:paraId="16F46515" w14:textId="77777777" w:rsidR="00E6024C" w:rsidRDefault="00E6024C" w:rsidP="00E6024C">
      <w:pPr>
        <w:pStyle w:val="Textodenotaderodap"/>
      </w:pPr>
      <w:r>
        <w:rPr>
          <w:rStyle w:val="Refdenotaderodap"/>
        </w:rPr>
        <w:footnoteRef/>
      </w:r>
      <w:r>
        <w:t xml:space="preserve"> “</w:t>
      </w:r>
      <w:r>
        <w:rPr>
          <w:i/>
          <w:iCs/>
        </w:rPr>
        <w:t>Magistratura e Previdência: Mitos e Realidades”</w:t>
      </w:r>
      <w:r>
        <w:t xml:space="preserve">, Romano José Enzweiler, Juiz de Direito em Santa Catarina, </w:t>
      </w:r>
      <w:r>
        <w:rPr>
          <w:i/>
          <w:iCs/>
        </w:rPr>
        <w:t xml:space="preserve">apud </w:t>
      </w:r>
      <w:r>
        <w:t xml:space="preserve">Site da AMB, </w:t>
      </w:r>
      <w:hyperlink r:id="rId2" w:history="1">
        <w:r>
          <w:rPr>
            <w:rStyle w:val="Hyperlink"/>
          </w:rPr>
          <w:t>www.amb.com.br</w:t>
        </w:r>
      </w:hyperlink>
      <w:r>
        <w:t>, cópia anexa.</w:t>
      </w:r>
    </w:p>
  </w:footnote>
  <w:footnote w:id="3">
    <w:p w14:paraId="38D6A00F" w14:textId="77777777" w:rsidR="00E6024C" w:rsidRDefault="00E6024C" w:rsidP="00E6024C">
      <w:pPr>
        <w:pStyle w:val="Textodenotaderodap"/>
      </w:pPr>
      <w:r>
        <w:rPr>
          <w:rStyle w:val="Refdenotaderodap"/>
        </w:rPr>
        <w:footnoteRef/>
      </w:r>
      <w:r>
        <w:t xml:space="preserve"> No caso, MAGISTRADOS.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02111"/>
    <w:multiLevelType w:val="hybridMultilevel"/>
    <w:tmpl w:val="2A10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67"/>
    <w:rsid w:val="0001564A"/>
    <w:rsid w:val="001E3B82"/>
    <w:rsid w:val="0022238F"/>
    <w:rsid w:val="00276A5C"/>
    <w:rsid w:val="002A2EE0"/>
    <w:rsid w:val="00475486"/>
    <w:rsid w:val="007F0B67"/>
    <w:rsid w:val="00942143"/>
    <w:rsid w:val="00953D58"/>
    <w:rsid w:val="009F429D"/>
    <w:rsid w:val="00A05D34"/>
    <w:rsid w:val="00B00C3B"/>
    <w:rsid w:val="00D34910"/>
    <w:rsid w:val="00DA5EF1"/>
    <w:rsid w:val="00E20C6D"/>
    <w:rsid w:val="00E6024C"/>
    <w:rsid w:val="00EB56F2"/>
    <w:rsid w:val="00FD02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4E9D"/>
  <w15:chartTrackingRefBased/>
  <w15:docId w15:val="{DDA658C8-D059-4AB1-9938-CE54069A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34"/>
    <w:pPr>
      <w:spacing w:line="240" w:lineRule="auto"/>
      <w:jc w:val="both"/>
    </w:pPr>
    <w:rPr>
      <w:rFonts w:ascii="Times New Roman" w:hAnsi="Times New Roman"/>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0B67"/>
    <w:pPr>
      <w:ind w:left="720"/>
      <w:contextualSpacing/>
    </w:pPr>
  </w:style>
  <w:style w:type="paragraph" w:customStyle="1" w:styleId="rtejustify">
    <w:name w:val="rtejustify"/>
    <w:basedOn w:val="Normal"/>
    <w:rsid w:val="009F429D"/>
    <w:pPr>
      <w:spacing w:before="100" w:beforeAutospacing="1" w:after="100" w:afterAutospacing="1" w:line="384" w:lineRule="auto"/>
    </w:pPr>
    <w:rPr>
      <w:rFonts w:eastAsia="Times New Roman" w:cs="Times New Roman"/>
      <w:sz w:val="24"/>
      <w:szCs w:val="24"/>
      <w:lang w:eastAsia="pt-BR"/>
    </w:rPr>
  </w:style>
  <w:style w:type="paragraph" w:styleId="Cabealho">
    <w:name w:val="header"/>
    <w:basedOn w:val="Normal"/>
    <w:link w:val="CabealhoChar"/>
    <w:uiPriority w:val="99"/>
    <w:unhideWhenUsed/>
    <w:rsid w:val="00B00C3B"/>
    <w:pPr>
      <w:tabs>
        <w:tab w:val="center" w:pos="4252"/>
        <w:tab w:val="right" w:pos="8504"/>
      </w:tabs>
      <w:spacing w:after="0"/>
    </w:pPr>
  </w:style>
  <w:style w:type="character" w:customStyle="1" w:styleId="CabealhoChar">
    <w:name w:val="Cabeçalho Char"/>
    <w:basedOn w:val="Fontepargpadro"/>
    <w:link w:val="Cabealho"/>
    <w:uiPriority w:val="99"/>
    <w:rsid w:val="00B00C3B"/>
    <w:rPr>
      <w:rFonts w:ascii="Times New Roman" w:hAnsi="Times New Roman"/>
      <w:sz w:val="28"/>
    </w:rPr>
  </w:style>
  <w:style w:type="paragraph" w:styleId="Rodap">
    <w:name w:val="footer"/>
    <w:basedOn w:val="Normal"/>
    <w:link w:val="RodapChar"/>
    <w:uiPriority w:val="99"/>
    <w:unhideWhenUsed/>
    <w:rsid w:val="00B00C3B"/>
    <w:pPr>
      <w:tabs>
        <w:tab w:val="center" w:pos="4252"/>
        <w:tab w:val="right" w:pos="8504"/>
      </w:tabs>
      <w:spacing w:after="0"/>
    </w:pPr>
  </w:style>
  <w:style w:type="character" w:customStyle="1" w:styleId="RodapChar">
    <w:name w:val="Rodapé Char"/>
    <w:basedOn w:val="Fontepargpadro"/>
    <w:link w:val="Rodap"/>
    <w:uiPriority w:val="99"/>
    <w:rsid w:val="00B00C3B"/>
    <w:rPr>
      <w:rFonts w:ascii="Times New Roman" w:hAnsi="Times New Roman"/>
      <w:sz w:val="28"/>
    </w:rPr>
  </w:style>
  <w:style w:type="paragraph" w:styleId="Textodenotaderodap">
    <w:name w:val="footnote text"/>
    <w:basedOn w:val="Normal"/>
    <w:link w:val="TextodenotaderodapChar"/>
    <w:semiHidden/>
    <w:rsid w:val="00E6024C"/>
    <w:pPr>
      <w:spacing w:after="0"/>
      <w:jc w:val="left"/>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semiHidden/>
    <w:rsid w:val="00E602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6024C"/>
    <w:rPr>
      <w:vertAlign w:val="superscript"/>
    </w:rPr>
  </w:style>
  <w:style w:type="character" w:styleId="Hyperlink">
    <w:name w:val="Hyperlink"/>
    <w:basedOn w:val="Fontepargpadro"/>
    <w:rsid w:val="00E60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661">
      <w:bodyDiv w:val="1"/>
      <w:marLeft w:val="0"/>
      <w:marRight w:val="0"/>
      <w:marTop w:val="0"/>
      <w:marBottom w:val="0"/>
      <w:divBdr>
        <w:top w:val="none" w:sz="0" w:space="0" w:color="auto"/>
        <w:left w:val="none" w:sz="0" w:space="0" w:color="auto"/>
        <w:bottom w:val="none" w:sz="0" w:space="0" w:color="auto"/>
        <w:right w:val="none" w:sz="0" w:space="0" w:color="auto"/>
      </w:divBdr>
      <w:divsChild>
        <w:div w:id="724255376">
          <w:marLeft w:val="0"/>
          <w:marRight w:val="0"/>
          <w:marTop w:val="0"/>
          <w:marBottom w:val="0"/>
          <w:divBdr>
            <w:top w:val="none" w:sz="0" w:space="0" w:color="auto"/>
            <w:left w:val="none" w:sz="0" w:space="0" w:color="auto"/>
            <w:bottom w:val="none" w:sz="0" w:space="0" w:color="auto"/>
            <w:right w:val="none" w:sz="0" w:space="0" w:color="auto"/>
          </w:divBdr>
          <w:divsChild>
            <w:div w:id="756906043">
              <w:marLeft w:val="0"/>
              <w:marRight w:val="0"/>
              <w:marTop w:val="0"/>
              <w:marBottom w:val="0"/>
              <w:divBdr>
                <w:top w:val="none" w:sz="0" w:space="0" w:color="auto"/>
                <w:left w:val="none" w:sz="0" w:space="0" w:color="auto"/>
                <w:bottom w:val="none" w:sz="0" w:space="0" w:color="auto"/>
                <w:right w:val="none" w:sz="0" w:space="0" w:color="auto"/>
              </w:divBdr>
              <w:divsChild>
                <w:div w:id="100956713">
                  <w:marLeft w:val="0"/>
                  <w:marRight w:val="0"/>
                  <w:marTop w:val="0"/>
                  <w:marBottom w:val="0"/>
                  <w:divBdr>
                    <w:top w:val="none" w:sz="0" w:space="0" w:color="auto"/>
                    <w:left w:val="none" w:sz="0" w:space="0" w:color="auto"/>
                    <w:bottom w:val="none" w:sz="0" w:space="0" w:color="auto"/>
                    <w:right w:val="none" w:sz="0" w:space="0" w:color="auto"/>
                  </w:divBdr>
                  <w:divsChild>
                    <w:div w:id="1587105918">
                      <w:marLeft w:val="0"/>
                      <w:marRight w:val="0"/>
                      <w:marTop w:val="150"/>
                      <w:marBottom w:val="0"/>
                      <w:divBdr>
                        <w:top w:val="none" w:sz="0" w:space="0" w:color="auto"/>
                        <w:left w:val="none" w:sz="0" w:space="0" w:color="auto"/>
                        <w:bottom w:val="none" w:sz="0" w:space="0" w:color="auto"/>
                        <w:right w:val="none" w:sz="0" w:space="0" w:color="auto"/>
                      </w:divBdr>
                      <w:divsChild>
                        <w:div w:id="1883129523">
                          <w:marLeft w:val="0"/>
                          <w:marRight w:val="45"/>
                          <w:marTop w:val="0"/>
                          <w:marBottom w:val="0"/>
                          <w:divBdr>
                            <w:top w:val="none" w:sz="0" w:space="0" w:color="auto"/>
                            <w:left w:val="none" w:sz="0" w:space="0" w:color="auto"/>
                            <w:bottom w:val="none" w:sz="0" w:space="0" w:color="auto"/>
                            <w:right w:val="none" w:sz="0" w:space="0" w:color="auto"/>
                          </w:divBdr>
                          <w:divsChild>
                            <w:div w:id="125397923">
                              <w:marLeft w:val="0"/>
                              <w:marRight w:val="0"/>
                              <w:marTop w:val="0"/>
                              <w:marBottom w:val="0"/>
                              <w:divBdr>
                                <w:top w:val="none" w:sz="0" w:space="0" w:color="auto"/>
                                <w:left w:val="none" w:sz="0" w:space="0" w:color="auto"/>
                                <w:bottom w:val="none" w:sz="0" w:space="0" w:color="auto"/>
                                <w:right w:val="none" w:sz="0" w:space="0" w:color="auto"/>
                              </w:divBdr>
                              <w:divsChild>
                                <w:div w:id="691223660">
                                  <w:marLeft w:val="0"/>
                                  <w:marRight w:val="0"/>
                                  <w:marTop w:val="0"/>
                                  <w:marBottom w:val="0"/>
                                  <w:divBdr>
                                    <w:top w:val="none" w:sz="0" w:space="0" w:color="auto"/>
                                    <w:left w:val="none" w:sz="0" w:space="0" w:color="auto"/>
                                    <w:bottom w:val="none" w:sz="0" w:space="0" w:color="auto"/>
                                    <w:right w:val="none" w:sz="0" w:space="0" w:color="auto"/>
                                  </w:divBdr>
                                  <w:divsChild>
                                    <w:div w:id="1954702581">
                                      <w:marLeft w:val="0"/>
                                      <w:marRight w:val="0"/>
                                      <w:marTop w:val="0"/>
                                      <w:marBottom w:val="0"/>
                                      <w:divBdr>
                                        <w:top w:val="none" w:sz="0" w:space="0" w:color="auto"/>
                                        <w:left w:val="none" w:sz="0" w:space="0" w:color="auto"/>
                                        <w:bottom w:val="none" w:sz="0" w:space="0" w:color="auto"/>
                                        <w:right w:val="none" w:sz="0" w:space="0" w:color="auto"/>
                                      </w:divBdr>
                                      <w:divsChild>
                                        <w:div w:id="1148598172">
                                          <w:marLeft w:val="28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mb.com.br" TargetMode="External"/><Relationship Id="rId1" Type="http://schemas.openxmlformats.org/officeDocument/2006/relationships/hyperlink" Target="http://www.terravista.pt/copacaba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BDD6E-D3F8-4E5A-9A9F-36B6F39A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8</Pages>
  <Words>2195</Words>
  <Characters>11857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Genesio vivanco</dc:creator>
  <cp:keywords/>
  <dc:description/>
  <cp:lastModifiedBy>Genesio vivanco</cp:lastModifiedBy>
  <cp:revision>4</cp:revision>
  <dcterms:created xsi:type="dcterms:W3CDTF">2016-03-24T20:20:00Z</dcterms:created>
  <dcterms:modified xsi:type="dcterms:W3CDTF">2016-03-27T20:32:00Z</dcterms:modified>
</cp:coreProperties>
</file>