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9D9" w:rsidRPr="002F2A31" w:rsidRDefault="005669D9" w:rsidP="002F2A31">
      <w:pPr>
        <w:ind w:left="1416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É inconstitucional a exclusão do adicional por tempo de serviço dos vencimentos dos magistrados ativos e aposentados, bem como o desconto de contribuição previdenciária, por violação às garantias de isonomia e irredutibilidade dos vencimentos.</w:t>
      </w:r>
    </w:p>
    <w:p w:rsidR="005669D9" w:rsidRDefault="005669D9" w:rsidP="002F2A31">
      <w:pPr>
        <w:jc w:val="both"/>
        <w:rPr>
          <w:rFonts w:ascii="Times New Roman" w:hAnsi="Times New Roman"/>
          <w:sz w:val="24"/>
          <w:szCs w:val="24"/>
        </w:rPr>
      </w:pPr>
    </w:p>
    <w:p w:rsidR="005669D9" w:rsidRPr="002F2A31" w:rsidRDefault="005669D9" w:rsidP="002F2A3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Autora: </w:t>
      </w:r>
      <w:r w:rsidRPr="002F2A31">
        <w:rPr>
          <w:rFonts w:ascii="Times New Roman" w:hAnsi="Times New Roman"/>
          <w:b/>
          <w:color w:val="000000"/>
          <w:sz w:val="24"/>
          <w:szCs w:val="24"/>
        </w:rPr>
        <w:t>Diva Aparecida Leite Alves de Almeida</w:t>
      </w:r>
    </w:p>
    <w:p w:rsidR="005669D9" w:rsidRPr="002F2A31" w:rsidRDefault="005669D9" w:rsidP="002F2A31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Email</w:t>
      </w:r>
      <w:proofErr w:type="spellEnd"/>
      <w:r>
        <w:rPr>
          <w:rFonts w:ascii="Times New Roman" w:hAnsi="Times New Roman"/>
          <w:sz w:val="24"/>
          <w:szCs w:val="24"/>
        </w:rPr>
        <w:t xml:space="preserve"> para contato: dalasp@hotmail.com</w:t>
      </w:r>
    </w:p>
    <w:p w:rsidR="005669D9" w:rsidRDefault="005669D9" w:rsidP="002F2A31">
      <w:pPr>
        <w:jc w:val="both"/>
        <w:rPr>
          <w:rFonts w:ascii="Times New Roman" w:hAnsi="Times New Roman"/>
          <w:sz w:val="24"/>
          <w:szCs w:val="24"/>
        </w:rPr>
      </w:pPr>
    </w:p>
    <w:p w:rsidR="005669D9" w:rsidRDefault="005669D9" w:rsidP="002F2A31">
      <w:pPr>
        <w:jc w:val="both"/>
        <w:rPr>
          <w:rFonts w:ascii="Times New Roman" w:hAnsi="Times New Roman"/>
          <w:sz w:val="24"/>
          <w:szCs w:val="24"/>
        </w:rPr>
      </w:pPr>
    </w:p>
    <w:p w:rsidR="005669D9" w:rsidRPr="002F2A31" w:rsidRDefault="005669D9" w:rsidP="002F2A31">
      <w:pPr>
        <w:ind w:left="2124"/>
        <w:jc w:val="both"/>
        <w:rPr>
          <w:rFonts w:ascii="Times New Roman" w:hAnsi="Times New Roman"/>
          <w:szCs w:val="24"/>
        </w:rPr>
      </w:pPr>
      <w:r w:rsidRPr="002F2A31">
        <w:rPr>
          <w:rFonts w:ascii="Times New Roman" w:hAnsi="Times New Roman"/>
          <w:szCs w:val="24"/>
        </w:rPr>
        <w:t>Art. 39</w:t>
      </w:r>
    </w:p>
    <w:p w:rsidR="005669D9" w:rsidRPr="002F2A31" w:rsidRDefault="005669D9" w:rsidP="002F2A31">
      <w:pPr>
        <w:pStyle w:val="Ttulo1"/>
        <w:shd w:val="clear" w:color="auto" w:fill="FFFFFF"/>
        <w:spacing w:before="0" w:beforeAutospacing="0" w:after="45" w:afterAutospacing="0" w:line="312" w:lineRule="atLeast"/>
        <w:ind w:left="2124"/>
        <w:jc w:val="both"/>
        <w:rPr>
          <w:b w:val="0"/>
          <w:color w:val="404040"/>
          <w:sz w:val="22"/>
          <w:szCs w:val="24"/>
        </w:rPr>
      </w:pPr>
      <w:r w:rsidRPr="002F2A31">
        <w:rPr>
          <w:b w:val="0"/>
          <w:color w:val="000000"/>
          <w:sz w:val="22"/>
          <w:szCs w:val="24"/>
        </w:rPr>
        <w:t xml:space="preserve">§4º </w:t>
      </w:r>
      <w:r w:rsidRPr="002F2A31">
        <w:rPr>
          <w:b w:val="0"/>
          <w:sz w:val="22"/>
          <w:szCs w:val="24"/>
        </w:rPr>
        <w:t>O membro de Poder, os detentos de mandato eletivo os ministros de Estados e os secretários estaduais e municipais serão remunerados exclusivamente por subsídio fixado em parcela única, vedado o acréscimo de qualquer gratificação, adicional abono, prêmio, verba de representação ou outra espécie remuneratória obedecido, em qualquer caso, o disposto artigo 137, X e XI.</w:t>
      </w:r>
    </w:p>
    <w:p w:rsidR="005669D9" w:rsidRPr="002F2A31" w:rsidRDefault="005669D9" w:rsidP="002F2A31">
      <w:pPr>
        <w:ind w:left="2124"/>
        <w:jc w:val="both"/>
        <w:rPr>
          <w:rFonts w:ascii="Times New Roman" w:hAnsi="Times New Roman"/>
          <w:szCs w:val="24"/>
        </w:rPr>
      </w:pPr>
    </w:p>
    <w:p w:rsidR="005669D9" w:rsidRPr="002F2A31" w:rsidRDefault="005669D9" w:rsidP="002F2A31">
      <w:pPr>
        <w:ind w:left="2124"/>
        <w:jc w:val="both"/>
        <w:rPr>
          <w:rFonts w:ascii="Times New Roman" w:hAnsi="Times New Roman"/>
          <w:szCs w:val="24"/>
        </w:rPr>
      </w:pPr>
      <w:r w:rsidRPr="002F2A31">
        <w:rPr>
          <w:rFonts w:ascii="Times New Roman" w:hAnsi="Times New Roman"/>
          <w:szCs w:val="24"/>
        </w:rPr>
        <w:t>Art.37</w:t>
      </w:r>
    </w:p>
    <w:p w:rsidR="005669D9" w:rsidRPr="002F2A31" w:rsidRDefault="005669D9" w:rsidP="002F2A31">
      <w:pPr>
        <w:ind w:left="2124"/>
        <w:jc w:val="both"/>
        <w:rPr>
          <w:rFonts w:ascii="Times New Roman" w:hAnsi="Times New Roman"/>
          <w:color w:val="000000"/>
          <w:szCs w:val="24"/>
        </w:rPr>
      </w:pPr>
      <w:r w:rsidRPr="002F2A31">
        <w:rPr>
          <w:rFonts w:ascii="Times New Roman" w:hAnsi="Times New Roman"/>
          <w:b/>
          <w:szCs w:val="24"/>
        </w:rPr>
        <w:t>X-</w:t>
      </w:r>
      <w:r w:rsidRPr="002F2A31">
        <w:rPr>
          <w:rFonts w:ascii="Times New Roman" w:hAnsi="Times New Roman"/>
          <w:szCs w:val="24"/>
        </w:rPr>
        <w:t xml:space="preserve"> A remuneração dos servidores públicos e o subsídio de que trata o </w:t>
      </w:r>
      <w:r w:rsidRPr="002F2A31">
        <w:rPr>
          <w:rFonts w:ascii="Times New Roman" w:hAnsi="Times New Roman"/>
          <w:color w:val="000000"/>
          <w:szCs w:val="24"/>
        </w:rPr>
        <w:t>§4º art.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2F2A31">
        <w:rPr>
          <w:rFonts w:ascii="Times New Roman" w:hAnsi="Times New Roman"/>
          <w:color w:val="000000"/>
          <w:szCs w:val="24"/>
        </w:rPr>
        <w:t>39 somente poderão ser fixados ou alterados por lei específica, observada a iniciativa privada cada caso, assegurada revisão geral anual, sempre na mesma data e sem distinção de índices;</w:t>
      </w:r>
    </w:p>
    <w:p w:rsidR="005669D9" w:rsidRPr="002F2A31" w:rsidRDefault="005669D9" w:rsidP="002F2A31">
      <w:pPr>
        <w:ind w:left="2124"/>
        <w:jc w:val="both"/>
        <w:rPr>
          <w:rFonts w:ascii="Times New Roman" w:hAnsi="Times New Roman"/>
          <w:color w:val="000000"/>
          <w:szCs w:val="24"/>
        </w:rPr>
      </w:pPr>
      <w:r w:rsidRPr="002F2A31">
        <w:rPr>
          <w:rFonts w:ascii="Times New Roman" w:hAnsi="Times New Roman"/>
          <w:b/>
          <w:color w:val="000000"/>
          <w:szCs w:val="24"/>
        </w:rPr>
        <w:t xml:space="preserve">XI- </w:t>
      </w:r>
      <w:r w:rsidRPr="002F2A31">
        <w:rPr>
          <w:rFonts w:ascii="Times New Roman" w:hAnsi="Times New Roman"/>
          <w:color w:val="000000"/>
          <w:szCs w:val="24"/>
        </w:rPr>
        <w:t xml:space="preserve">A remuneração e o subsídio dos ocupantes de cargos funções e empregos públicos da administração direta, autárquica e fundacional dos </w:t>
      </w:r>
      <w:proofErr w:type="gramStart"/>
      <w:r w:rsidRPr="002F2A31">
        <w:rPr>
          <w:rFonts w:ascii="Times New Roman" w:hAnsi="Times New Roman"/>
          <w:color w:val="000000"/>
          <w:szCs w:val="24"/>
        </w:rPr>
        <w:t>membros</w:t>
      </w:r>
      <w:proofErr w:type="gramEnd"/>
      <w:r w:rsidRPr="002F2A31">
        <w:rPr>
          <w:rFonts w:ascii="Times New Roman" w:hAnsi="Times New Roman"/>
          <w:color w:val="000000"/>
          <w:szCs w:val="24"/>
        </w:rPr>
        <w:t xml:space="preserve"> de qualquer dos Poderes da União, dos Estados do Distrito Federal e dos munícipios, dos detentores de mandato eletivo e dos demais agentes políticos e os proventos, pensões ou outra espécie remunerada, percebidos cumulativamente ou não, incluídos as vantagens pessoais ou de qualquer outra natureza não poderão exceder o subsídio mensal, em espécie dos Ministros do Supremo Tribunal Federal.</w:t>
      </w:r>
    </w:p>
    <w:p w:rsidR="005669D9" w:rsidRDefault="005669D9" w:rsidP="002F2A31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9D9" w:rsidRPr="002F2A31" w:rsidRDefault="005669D9" w:rsidP="002F2A3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F2A31">
        <w:rPr>
          <w:rFonts w:ascii="Times New Roman" w:hAnsi="Times New Roman"/>
          <w:color w:val="000000"/>
          <w:sz w:val="24"/>
          <w:szCs w:val="24"/>
        </w:rPr>
        <w:t>Os artigos transcritos referem a:</w:t>
      </w:r>
    </w:p>
    <w:p w:rsidR="005669D9" w:rsidRDefault="005669D9" w:rsidP="002F2A31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9D9" w:rsidRPr="002F2A31" w:rsidRDefault="005669D9" w:rsidP="002F2A31">
      <w:pPr>
        <w:ind w:left="2124"/>
        <w:jc w:val="both"/>
        <w:rPr>
          <w:rFonts w:ascii="Times New Roman" w:hAnsi="Times New Roman"/>
          <w:color w:val="000000"/>
          <w:szCs w:val="24"/>
        </w:rPr>
      </w:pPr>
      <w:r w:rsidRPr="002F2A31">
        <w:rPr>
          <w:rFonts w:ascii="Times New Roman" w:hAnsi="Times New Roman"/>
          <w:color w:val="000000"/>
          <w:szCs w:val="24"/>
        </w:rPr>
        <w:t>39</w:t>
      </w:r>
      <w:r>
        <w:rPr>
          <w:rFonts w:ascii="Times New Roman" w:hAnsi="Times New Roman"/>
          <w:color w:val="000000"/>
          <w:szCs w:val="24"/>
        </w:rPr>
        <w:tab/>
      </w:r>
      <w:r w:rsidRPr="002F2A31">
        <w:rPr>
          <w:rFonts w:ascii="Times New Roman" w:hAnsi="Times New Roman"/>
          <w:color w:val="000000"/>
          <w:szCs w:val="24"/>
        </w:rPr>
        <w:t>a) servidores nomeados pelos respectivos Poderes.</w:t>
      </w:r>
    </w:p>
    <w:p w:rsidR="005669D9" w:rsidRPr="002F2A31" w:rsidRDefault="005669D9" w:rsidP="002F2A31">
      <w:pPr>
        <w:ind w:left="2124"/>
        <w:jc w:val="both"/>
        <w:rPr>
          <w:rFonts w:ascii="Times New Roman" w:hAnsi="Times New Roman"/>
          <w:color w:val="000000"/>
          <w:szCs w:val="24"/>
        </w:rPr>
      </w:pPr>
      <w:r w:rsidRPr="002F2A31">
        <w:rPr>
          <w:rFonts w:ascii="Times New Roman" w:hAnsi="Times New Roman"/>
          <w:color w:val="000000"/>
          <w:szCs w:val="24"/>
        </w:rPr>
        <w:t>39 §4º</w:t>
      </w:r>
      <w:r>
        <w:rPr>
          <w:rFonts w:ascii="Times New Roman" w:hAnsi="Times New Roman"/>
          <w:color w:val="000000"/>
          <w:szCs w:val="24"/>
        </w:rPr>
        <w:tab/>
      </w:r>
      <w:r w:rsidRPr="002F2A31">
        <w:rPr>
          <w:rFonts w:ascii="Times New Roman" w:hAnsi="Times New Roman"/>
          <w:color w:val="000000"/>
          <w:szCs w:val="24"/>
        </w:rPr>
        <w:t>b) detentores de mandato eletivo</w:t>
      </w:r>
    </w:p>
    <w:p w:rsidR="005669D9" w:rsidRPr="002F2A31" w:rsidRDefault="005669D9" w:rsidP="002F2A31">
      <w:pPr>
        <w:ind w:left="2124" w:firstLine="708"/>
        <w:jc w:val="both"/>
        <w:rPr>
          <w:rFonts w:ascii="Times New Roman" w:hAnsi="Times New Roman"/>
          <w:color w:val="000000"/>
          <w:szCs w:val="24"/>
        </w:rPr>
      </w:pPr>
      <w:r w:rsidRPr="002F2A31">
        <w:rPr>
          <w:rFonts w:ascii="Times New Roman" w:hAnsi="Times New Roman"/>
          <w:color w:val="000000"/>
          <w:szCs w:val="24"/>
        </w:rPr>
        <w:t>c) Ministros de Estado</w:t>
      </w:r>
    </w:p>
    <w:p w:rsidR="005669D9" w:rsidRPr="002F2A31" w:rsidRDefault="005669D9" w:rsidP="002F2A31">
      <w:pPr>
        <w:ind w:left="2124" w:firstLine="708"/>
        <w:jc w:val="both"/>
        <w:rPr>
          <w:rFonts w:ascii="Times New Roman" w:hAnsi="Times New Roman"/>
          <w:color w:val="000000"/>
          <w:szCs w:val="24"/>
        </w:rPr>
      </w:pPr>
      <w:r w:rsidRPr="002F2A31">
        <w:rPr>
          <w:rFonts w:ascii="Times New Roman" w:hAnsi="Times New Roman"/>
          <w:color w:val="000000"/>
          <w:szCs w:val="24"/>
        </w:rPr>
        <w:t>d) Secretários Estaduais</w:t>
      </w:r>
    </w:p>
    <w:p w:rsidR="005669D9" w:rsidRPr="002F2A31" w:rsidRDefault="005669D9" w:rsidP="002F2A31">
      <w:pPr>
        <w:ind w:left="2124" w:firstLine="708"/>
        <w:jc w:val="both"/>
        <w:rPr>
          <w:rFonts w:ascii="Times New Roman" w:hAnsi="Times New Roman"/>
          <w:color w:val="000000"/>
          <w:szCs w:val="24"/>
        </w:rPr>
      </w:pPr>
      <w:r w:rsidRPr="002F2A31">
        <w:rPr>
          <w:rFonts w:ascii="Times New Roman" w:hAnsi="Times New Roman"/>
          <w:color w:val="000000"/>
          <w:szCs w:val="24"/>
        </w:rPr>
        <w:t>e) Secretários Municipais</w:t>
      </w:r>
    </w:p>
    <w:p w:rsidR="005669D9" w:rsidRPr="002F2A31" w:rsidRDefault="005669D9" w:rsidP="002F2A31">
      <w:pPr>
        <w:ind w:left="2124"/>
        <w:jc w:val="both"/>
        <w:rPr>
          <w:rFonts w:ascii="Times New Roman" w:hAnsi="Times New Roman"/>
          <w:color w:val="000000"/>
          <w:szCs w:val="24"/>
        </w:rPr>
      </w:pPr>
    </w:p>
    <w:p w:rsidR="005669D9" w:rsidRPr="002F2A31" w:rsidRDefault="005669D9" w:rsidP="002F2A31">
      <w:pPr>
        <w:ind w:left="2124"/>
        <w:jc w:val="both"/>
        <w:rPr>
          <w:rFonts w:ascii="Times New Roman" w:hAnsi="Times New Roman"/>
          <w:color w:val="000000"/>
          <w:szCs w:val="24"/>
        </w:rPr>
      </w:pPr>
      <w:r w:rsidRPr="002F2A31">
        <w:rPr>
          <w:rFonts w:ascii="Times New Roman" w:hAnsi="Times New Roman"/>
          <w:b/>
          <w:color w:val="000000"/>
          <w:szCs w:val="24"/>
        </w:rPr>
        <w:t>37</w:t>
      </w:r>
      <w:r>
        <w:rPr>
          <w:rFonts w:ascii="Times New Roman" w:hAnsi="Times New Roman"/>
          <w:b/>
          <w:color w:val="000000"/>
          <w:szCs w:val="24"/>
        </w:rPr>
        <w:t xml:space="preserve">, </w:t>
      </w:r>
      <w:r w:rsidRPr="002F2A31">
        <w:rPr>
          <w:rFonts w:ascii="Times New Roman" w:hAnsi="Times New Roman"/>
          <w:b/>
          <w:color w:val="000000"/>
          <w:szCs w:val="24"/>
        </w:rPr>
        <w:t>XI</w:t>
      </w:r>
      <w:r>
        <w:rPr>
          <w:rFonts w:ascii="Times New Roman" w:hAnsi="Times New Roman"/>
          <w:b/>
          <w:color w:val="000000"/>
          <w:szCs w:val="24"/>
        </w:rPr>
        <w:tab/>
      </w:r>
      <w:r w:rsidRPr="002F2A31">
        <w:rPr>
          <w:rFonts w:ascii="Times New Roman" w:hAnsi="Times New Roman"/>
          <w:color w:val="000000"/>
          <w:szCs w:val="24"/>
        </w:rPr>
        <w:t>f) ocupantes de cargos funções e empregos públicos da administração direta, autárquica e fundacional.</w:t>
      </w:r>
    </w:p>
    <w:p w:rsidR="005669D9" w:rsidRPr="002F2A31" w:rsidRDefault="005669D9" w:rsidP="002F2A31">
      <w:pPr>
        <w:ind w:left="2124" w:firstLine="708"/>
        <w:jc w:val="both"/>
        <w:rPr>
          <w:rFonts w:ascii="Times New Roman" w:hAnsi="Times New Roman"/>
          <w:color w:val="000000"/>
          <w:szCs w:val="24"/>
        </w:rPr>
      </w:pPr>
      <w:r w:rsidRPr="002F2A31">
        <w:rPr>
          <w:rFonts w:ascii="Times New Roman" w:hAnsi="Times New Roman"/>
          <w:color w:val="000000"/>
          <w:szCs w:val="24"/>
        </w:rPr>
        <w:t>g) membros de qualquer dos Poderes da União detentores de mandato eletivo</w:t>
      </w:r>
    </w:p>
    <w:p w:rsidR="005669D9" w:rsidRPr="002F2A31" w:rsidRDefault="005669D9" w:rsidP="002F2A31">
      <w:pPr>
        <w:ind w:left="2832"/>
        <w:jc w:val="both"/>
        <w:rPr>
          <w:rFonts w:ascii="Times New Roman" w:hAnsi="Times New Roman"/>
          <w:color w:val="000000"/>
          <w:szCs w:val="24"/>
        </w:rPr>
      </w:pPr>
      <w:r w:rsidRPr="002F2A31">
        <w:rPr>
          <w:rFonts w:ascii="Times New Roman" w:hAnsi="Times New Roman"/>
          <w:color w:val="000000"/>
          <w:szCs w:val="24"/>
        </w:rPr>
        <w:t>h) Executivo</w:t>
      </w:r>
    </w:p>
    <w:p w:rsidR="005669D9" w:rsidRPr="002F2A31" w:rsidRDefault="005669D9" w:rsidP="002F2A31">
      <w:pPr>
        <w:ind w:left="2124" w:firstLine="708"/>
        <w:jc w:val="both"/>
        <w:rPr>
          <w:rFonts w:ascii="Times New Roman" w:hAnsi="Times New Roman"/>
          <w:color w:val="000000"/>
          <w:szCs w:val="24"/>
        </w:rPr>
      </w:pPr>
      <w:r w:rsidRPr="002F2A31">
        <w:rPr>
          <w:rFonts w:ascii="Times New Roman" w:hAnsi="Times New Roman"/>
          <w:color w:val="000000"/>
          <w:szCs w:val="24"/>
        </w:rPr>
        <w:t>i) Judiciário</w:t>
      </w:r>
    </w:p>
    <w:p w:rsidR="005669D9" w:rsidRDefault="005669D9" w:rsidP="002F2A31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9D9" w:rsidRPr="002F2A31" w:rsidRDefault="005669D9" w:rsidP="002F2A3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F2A31">
        <w:rPr>
          <w:rFonts w:ascii="Times New Roman" w:hAnsi="Times New Roman"/>
          <w:color w:val="000000"/>
          <w:sz w:val="24"/>
          <w:szCs w:val="24"/>
        </w:rPr>
        <w:t>Apesar da vasta discriminação dos componentes da “degola” o então Presidente da República (2004) só minora o Poder Judiciário.</w:t>
      </w:r>
    </w:p>
    <w:p w:rsidR="005669D9" w:rsidRPr="002F2A31" w:rsidRDefault="005669D9" w:rsidP="002F2A3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F2A31">
        <w:rPr>
          <w:rFonts w:ascii="Times New Roman" w:hAnsi="Times New Roman"/>
          <w:color w:val="000000"/>
          <w:sz w:val="24"/>
          <w:szCs w:val="24"/>
        </w:rPr>
        <w:t>Considerou o tempo de serviço público, prestado pelos magistrados antes e depois da Magistratura como “penduricalho”, assim como vantagens concedidas pela LOMAN art. 184 da Lei 1711/52 e 8112/90.</w:t>
      </w:r>
    </w:p>
    <w:p w:rsidR="005669D9" w:rsidRPr="002F2A31" w:rsidRDefault="005669D9" w:rsidP="002F2A3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F2A31">
        <w:rPr>
          <w:rFonts w:ascii="Times New Roman" w:hAnsi="Times New Roman"/>
          <w:color w:val="000000"/>
          <w:sz w:val="24"/>
          <w:szCs w:val="24"/>
        </w:rPr>
        <w:t>Assim “engessou” os Ministros do STF e os demais ministros, desembargadores, juízes de primeira instância e juízes substitutos da alínea “i”.</w:t>
      </w:r>
    </w:p>
    <w:p w:rsidR="005669D9" w:rsidRPr="002F2A31" w:rsidRDefault="005669D9" w:rsidP="002F2A3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F2A31">
        <w:rPr>
          <w:rFonts w:ascii="Times New Roman" w:hAnsi="Times New Roman"/>
          <w:color w:val="000000"/>
          <w:sz w:val="24"/>
          <w:szCs w:val="24"/>
        </w:rPr>
        <w:t xml:space="preserve">Os demais das alíneas “a” e “h” continuaram recebendo os mesmos valores de antes, inclusive o adicional por tempo de serviço, mesmo os próprios servidores do Poder Judiciário, sendo que alguns ultrapassaram o teto do STF e só o que sobejava era </w:t>
      </w:r>
      <w:r>
        <w:rPr>
          <w:rFonts w:ascii="Times New Roman" w:hAnsi="Times New Roman"/>
          <w:color w:val="000000"/>
          <w:sz w:val="24"/>
          <w:szCs w:val="24"/>
        </w:rPr>
        <w:t>co</w:t>
      </w:r>
      <w:r w:rsidRPr="002F2A31">
        <w:rPr>
          <w:rFonts w:ascii="Times New Roman" w:hAnsi="Times New Roman"/>
          <w:color w:val="000000"/>
          <w:sz w:val="24"/>
          <w:szCs w:val="24"/>
        </w:rPr>
        <w:t>rtado.</w:t>
      </w:r>
    </w:p>
    <w:p w:rsidR="005669D9" w:rsidRPr="002F2A31" w:rsidRDefault="005669D9" w:rsidP="002F2A3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F2A31">
        <w:rPr>
          <w:rFonts w:ascii="Times New Roman" w:hAnsi="Times New Roman"/>
          <w:color w:val="000000"/>
          <w:sz w:val="24"/>
          <w:szCs w:val="24"/>
        </w:rPr>
        <w:t>Assim suponhamos um desembargador já aposentado em 2004, com o tempo de serviço público superior a 35 anos, que tinha 35% de adicional por tempo de serviço, mais 20% da LOMAN, art. 184 da Lei 1711/52 e 528 lei 8112/90 recebendo vencimento básico de 10% menos que o STF, porém com os 55% a mais, recebia 45% acima do básico do Supremo, ver-se destituído desses valores já no “outono” da vida.</w:t>
      </w:r>
    </w:p>
    <w:p w:rsidR="005669D9" w:rsidRPr="002F2A31" w:rsidRDefault="005669D9" w:rsidP="002F2A3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F2A31">
        <w:rPr>
          <w:rFonts w:ascii="Times New Roman" w:hAnsi="Times New Roman"/>
          <w:color w:val="000000"/>
          <w:sz w:val="24"/>
          <w:szCs w:val="24"/>
        </w:rPr>
        <w:t>Se o adicional por tempo de serviço era “penduricalho” por que continuou sendo pago aos outros Poderes e até aos servidores do próprio Poder Judiciário ele não poderia ter sido cortado do Poder Judiciário por força da IRREDUTIBILIDADE DE VENCIMENTOS garantida aos Magistrados pelo artigo 95</w:t>
      </w:r>
      <w:r>
        <w:rPr>
          <w:rFonts w:ascii="Times New Roman" w:hAnsi="Times New Roman"/>
          <w:color w:val="000000"/>
          <w:sz w:val="24"/>
          <w:szCs w:val="24"/>
        </w:rPr>
        <w:t>, III</w:t>
      </w:r>
      <w:r w:rsidRPr="002F2A31">
        <w:rPr>
          <w:rFonts w:ascii="Times New Roman" w:hAnsi="Times New Roman"/>
          <w:color w:val="000000"/>
          <w:sz w:val="24"/>
          <w:szCs w:val="24"/>
        </w:rPr>
        <w:t xml:space="preserve"> da Constituição Federal.</w:t>
      </w:r>
    </w:p>
    <w:p w:rsidR="005669D9" w:rsidRPr="002F2A31" w:rsidRDefault="005669D9" w:rsidP="002F2A3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F2A31">
        <w:rPr>
          <w:rFonts w:ascii="Times New Roman" w:hAnsi="Times New Roman"/>
          <w:color w:val="000000"/>
          <w:sz w:val="24"/>
          <w:szCs w:val="24"/>
        </w:rPr>
        <w:t>Inclusive os Ministros do STF deveriam continuar a receber o ATS pelo serviço público que prestaram a órgãos do governo (Municipal, Estadual e Federal).</w:t>
      </w:r>
    </w:p>
    <w:p w:rsidR="005669D9" w:rsidRPr="002F2A31" w:rsidRDefault="005669D9" w:rsidP="002F2A3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F2A31">
        <w:rPr>
          <w:rFonts w:ascii="Times New Roman" w:hAnsi="Times New Roman"/>
          <w:color w:val="000000"/>
          <w:sz w:val="24"/>
          <w:szCs w:val="24"/>
        </w:rPr>
        <w:t>O adicional deveria incorporar-se a seus ganhos, alterando-se o teto constitucional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2F2A31">
        <w:rPr>
          <w:rFonts w:ascii="Times New Roman" w:hAnsi="Times New Roman"/>
          <w:color w:val="000000"/>
          <w:sz w:val="24"/>
          <w:szCs w:val="24"/>
        </w:rPr>
        <w:t xml:space="preserve"> ou melhor mantendo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2F2A31">
        <w:rPr>
          <w:rFonts w:ascii="Times New Roman" w:hAnsi="Times New Roman"/>
          <w:color w:val="000000"/>
          <w:sz w:val="24"/>
          <w:szCs w:val="24"/>
        </w:rPr>
        <w:t>o no vencimento básico daquele órgão.</w:t>
      </w:r>
    </w:p>
    <w:p w:rsidR="005669D9" w:rsidRPr="002F2A31" w:rsidRDefault="005669D9" w:rsidP="002F2A3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F2A31">
        <w:rPr>
          <w:rFonts w:ascii="Times New Roman" w:hAnsi="Times New Roman"/>
          <w:color w:val="000000"/>
          <w:sz w:val="24"/>
          <w:szCs w:val="24"/>
        </w:rPr>
        <w:t>Voltemos ao Magistrado Aposentado em 2004, que recebia 35% de adicional por tempo de serviço e mais 20% da Lei.</w:t>
      </w:r>
    </w:p>
    <w:p w:rsidR="005669D9" w:rsidRPr="002F2A31" w:rsidRDefault="005669D9" w:rsidP="002F2A3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F2A31">
        <w:rPr>
          <w:rFonts w:ascii="Times New Roman" w:hAnsi="Times New Roman"/>
          <w:color w:val="000000"/>
          <w:sz w:val="24"/>
          <w:szCs w:val="24"/>
        </w:rPr>
        <w:t>Também não poderiam ser cortados em face de irredutibilidade de vencimentos, mas também por outra razão.</w:t>
      </w:r>
    </w:p>
    <w:p w:rsidR="005669D9" w:rsidRPr="002F2A31" w:rsidRDefault="005669D9" w:rsidP="002F2A3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F2A31">
        <w:rPr>
          <w:rFonts w:ascii="Times New Roman" w:hAnsi="Times New Roman"/>
          <w:color w:val="000000"/>
          <w:sz w:val="24"/>
          <w:szCs w:val="24"/>
        </w:rPr>
        <w:t>À citada lei pressuponho duas hipóteses:</w:t>
      </w:r>
    </w:p>
    <w:p w:rsidR="005669D9" w:rsidRPr="002F2A31" w:rsidRDefault="005669D9" w:rsidP="002F2A3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F2A31">
        <w:rPr>
          <w:rFonts w:ascii="Times New Roman" w:hAnsi="Times New Roman"/>
          <w:b/>
          <w:color w:val="000000"/>
          <w:sz w:val="24"/>
          <w:szCs w:val="24"/>
        </w:rPr>
        <w:t xml:space="preserve">1ª </w:t>
      </w:r>
      <w:r w:rsidRPr="002F2A31">
        <w:rPr>
          <w:rFonts w:ascii="Times New Roman" w:hAnsi="Times New Roman"/>
          <w:color w:val="000000"/>
          <w:sz w:val="24"/>
          <w:szCs w:val="24"/>
        </w:rPr>
        <w:t>O magistrado poderia optar por aposentar-se no grau superior ao dele, recebendo 5% a mais, ou os 20% a mais.</w:t>
      </w:r>
    </w:p>
    <w:p w:rsidR="005669D9" w:rsidRPr="002F2A31" w:rsidRDefault="005669D9" w:rsidP="002F2A3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F2A31">
        <w:rPr>
          <w:rFonts w:ascii="Times New Roman" w:hAnsi="Times New Roman"/>
          <w:color w:val="000000"/>
          <w:sz w:val="24"/>
          <w:szCs w:val="24"/>
        </w:rPr>
        <w:lastRenderedPageBreak/>
        <w:t xml:space="preserve">Quando foi cortado esse direito como </w:t>
      </w:r>
      <w:r>
        <w:rPr>
          <w:rFonts w:ascii="Times New Roman" w:hAnsi="Times New Roman"/>
          <w:color w:val="000000"/>
          <w:sz w:val="24"/>
          <w:szCs w:val="24"/>
        </w:rPr>
        <w:t>“</w:t>
      </w:r>
      <w:r w:rsidRPr="002F2A31">
        <w:rPr>
          <w:rFonts w:ascii="Times New Roman" w:hAnsi="Times New Roman"/>
          <w:color w:val="000000"/>
          <w:sz w:val="24"/>
          <w:szCs w:val="24"/>
        </w:rPr>
        <w:t>penduricalho” só o fizeram em relação aos que recebiam os 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2F2A31">
        <w:rPr>
          <w:rFonts w:ascii="Times New Roman" w:hAnsi="Times New Roman"/>
          <w:color w:val="000000"/>
          <w:sz w:val="24"/>
          <w:szCs w:val="24"/>
        </w:rPr>
        <w:t>% a mais, mas os que optaram a aposentar-se no grau superior a receber mais 5% continuaram recebendo.</w:t>
      </w:r>
    </w:p>
    <w:p w:rsidR="005669D9" w:rsidRPr="002F2A31" w:rsidRDefault="005669D9" w:rsidP="002F2A3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F2A31">
        <w:rPr>
          <w:rFonts w:ascii="Times New Roman" w:hAnsi="Times New Roman"/>
          <w:color w:val="000000"/>
          <w:sz w:val="24"/>
          <w:szCs w:val="24"/>
        </w:rPr>
        <w:t xml:space="preserve">Nunca </w:t>
      </w:r>
      <w:r>
        <w:rPr>
          <w:rFonts w:ascii="Times New Roman" w:hAnsi="Times New Roman"/>
          <w:color w:val="000000"/>
          <w:sz w:val="24"/>
          <w:szCs w:val="24"/>
        </w:rPr>
        <w:t xml:space="preserve">vi </w:t>
      </w:r>
      <w:r w:rsidRPr="002F2A31">
        <w:rPr>
          <w:rFonts w:ascii="Times New Roman" w:hAnsi="Times New Roman"/>
          <w:color w:val="000000"/>
          <w:sz w:val="24"/>
          <w:szCs w:val="24"/>
        </w:rPr>
        <w:t>uma lei continuar vigendo pela metade.</w:t>
      </w:r>
    </w:p>
    <w:p w:rsidR="005669D9" w:rsidRPr="002F2A31" w:rsidRDefault="005669D9" w:rsidP="002F2A3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F2A31">
        <w:rPr>
          <w:rFonts w:ascii="Times New Roman" w:hAnsi="Times New Roman"/>
          <w:color w:val="000000"/>
          <w:sz w:val="24"/>
          <w:szCs w:val="24"/>
        </w:rPr>
        <w:t>Assim ao ser fixado o teto, a partir de 2004 deveria ser considerado o básico que era recebido pelo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2F2A31">
        <w:rPr>
          <w:rFonts w:ascii="Times New Roman" w:hAnsi="Times New Roman"/>
          <w:color w:val="000000"/>
          <w:sz w:val="24"/>
          <w:szCs w:val="24"/>
        </w:rPr>
        <w:t xml:space="preserve"> Ministros do Supremo.</w:t>
      </w:r>
    </w:p>
    <w:p w:rsidR="005669D9" w:rsidRPr="002F2A31" w:rsidRDefault="005669D9" w:rsidP="002F2A3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F2A31">
        <w:rPr>
          <w:rFonts w:ascii="Times New Roman" w:hAnsi="Times New Roman"/>
          <w:color w:val="000000"/>
          <w:sz w:val="24"/>
          <w:szCs w:val="24"/>
        </w:rPr>
        <w:t>Esse seria o teto para todos os mencionados no artigo 37 da Constituição Federal.</w:t>
      </w:r>
    </w:p>
    <w:p w:rsidR="005669D9" w:rsidRPr="002F2A31" w:rsidRDefault="005669D9" w:rsidP="002F2A3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F2A31">
        <w:rPr>
          <w:rFonts w:ascii="Times New Roman" w:hAnsi="Times New Roman"/>
          <w:color w:val="000000"/>
          <w:sz w:val="24"/>
          <w:szCs w:val="24"/>
        </w:rPr>
        <w:t>Os Ministros do Supremo e os demais juízes continuariam com o adicional de tempo de serviço em face da garantia de irredutibilidade de vencimentos do artigo 95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2F2A31">
        <w:rPr>
          <w:rFonts w:ascii="Times New Roman" w:hAnsi="Times New Roman"/>
          <w:color w:val="000000"/>
          <w:sz w:val="24"/>
          <w:szCs w:val="24"/>
        </w:rPr>
        <w:t xml:space="preserve"> III da Constituição Federal, desde o ano de 2004.</w:t>
      </w:r>
    </w:p>
    <w:p w:rsidR="005669D9" w:rsidRDefault="005669D9" w:rsidP="002F2A3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F2A31">
        <w:rPr>
          <w:rFonts w:ascii="Times New Roman" w:hAnsi="Times New Roman"/>
          <w:color w:val="000000"/>
          <w:sz w:val="24"/>
          <w:szCs w:val="24"/>
        </w:rPr>
        <w:t xml:space="preserve">Em face da mesma irredutibilidade de vencimentos, os juízes aposentados </w:t>
      </w:r>
      <w:r>
        <w:rPr>
          <w:rFonts w:ascii="Times New Roman" w:hAnsi="Times New Roman"/>
          <w:color w:val="000000"/>
          <w:sz w:val="24"/>
          <w:szCs w:val="24"/>
        </w:rPr>
        <w:t xml:space="preserve">que </w:t>
      </w:r>
      <w:r w:rsidRPr="002F2A31">
        <w:rPr>
          <w:rFonts w:ascii="Times New Roman" w:hAnsi="Times New Roman"/>
          <w:color w:val="000000"/>
          <w:sz w:val="24"/>
          <w:szCs w:val="24"/>
        </w:rPr>
        <w:t>recebiam os 20% a mais devem voltar a recebê-los igualmente, desde o ano de 2004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2F2A31">
        <w:rPr>
          <w:rFonts w:ascii="Times New Roman" w:hAnsi="Times New Roman"/>
          <w:color w:val="000000"/>
          <w:sz w:val="24"/>
          <w:szCs w:val="24"/>
        </w:rPr>
        <w:t xml:space="preserve"> pois a lei continuou vigendo para os que optaram pelos 5% a mais.</w:t>
      </w:r>
    </w:p>
    <w:p w:rsidR="005669D9" w:rsidRPr="002F2A31" w:rsidRDefault="005669D9" w:rsidP="002F2A3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F2A31">
        <w:rPr>
          <w:rFonts w:ascii="Times New Roman" w:hAnsi="Times New Roman"/>
          <w:b/>
          <w:color w:val="000000"/>
          <w:sz w:val="24"/>
          <w:szCs w:val="24"/>
        </w:rPr>
        <w:t>Desconto da Aposentadoria</w:t>
      </w:r>
    </w:p>
    <w:p w:rsidR="005669D9" w:rsidRPr="00CD3B8C" w:rsidRDefault="005669D9" w:rsidP="002F2A3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F2A31">
        <w:rPr>
          <w:rFonts w:ascii="Times New Roman" w:hAnsi="Times New Roman"/>
          <w:color w:val="000000"/>
          <w:sz w:val="24"/>
          <w:szCs w:val="24"/>
        </w:rPr>
        <w:t xml:space="preserve">Também construir irredutibilidade de vencimentos o desconto da previdência da aposentadoria dos juízes inativos. Após trabalhar mais de 30 anos, ele volta a pagar até que faleça. Justamente em uma fase da vida que necessariamente dever ter plano de saúde e comprar medicamentos. Aliás é injusto cobrar também dos servidores e trabalhadores em igual, a previdência após ter contribuído durante toda a vida funcional.           </w:t>
      </w:r>
    </w:p>
    <w:sectPr w:rsidR="005669D9" w:rsidRPr="00CD3B8C" w:rsidSect="002F2A31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58"/>
    <w:rsid w:val="00136AC6"/>
    <w:rsid w:val="0017526F"/>
    <w:rsid w:val="002F2A31"/>
    <w:rsid w:val="004C4258"/>
    <w:rsid w:val="00522164"/>
    <w:rsid w:val="005669D9"/>
    <w:rsid w:val="005E5521"/>
    <w:rsid w:val="006A3F25"/>
    <w:rsid w:val="008C7FC0"/>
    <w:rsid w:val="00953458"/>
    <w:rsid w:val="009F1B4F"/>
    <w:rsid w:val="00A56413"/>
    <w:rsid w:val="00B56E5B"/>
    <w:rsid w:val="00B8132B"/>
    <w:rsid w:val="00CD3B8C"/>
    <w:rsid w:val="00DA2AAF"/>
    <w:rsid w:val="00E544B9"/>
    <w:rsid w:val="00E85C56"/>
    <w:rsid w:val="00EF7641"/>
    <w:rsid w:val="00EF7F20"/>
    <w:rsid w:val="00F26DDF"/>
    <w:rsid w:val="00F8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168241-84F6-4BA3-8656-B0DB1F5B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DDF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link w:val="Ttulo1Char"/>
    <w:uiPriority w:val="99"/>
    <w:qFormat/>
    <w:rsid w:val="006A3F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6A3F25"/>
    <w:rPr>
      <w:rFonts w:ascii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63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amatra2</dc:creator>
  <cp:keywords/>
  <dc:description/>
  <cp:lastModifiedBy>jornalista</cp:lastModifiedBy>
  <cp:revision>2</cp:revision>
  <dcterms:created xsi:type="dcterms:W3CDTF">2016-03-28T20:09:00Z</dcterms:created>
  <dcterms:modified xsi:type="dcterms:W3CDTF">2016-03-28T20:09:00Z</dcterms:modified>
</cp:coreProperties>
</file>