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29" w:rsidRDefault="00DF4A29" w:rsidP="0084735F">
      <w:pPr>
        <w:spacing w:after="0" w:line="360" w:lineRule="auto"/>
        <w:ind w:left="1418" w:hanging="1418"/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ab/>
      </w:r>
      <w:r w:rsidRPr="00FC58C2">
        <w:rPr>
          <w:rFonts w:ascii="Times New Roman" w:hAnsi="Times New Roman"/>
          <w:b/>
          <w:spacing w:val="20"/>
          <w:sz w:val="24"/>
          <w:szCs w:val="24"/>
        </w:rPr>
        <w:t>Regime democrático</w:t>
      </w:r>
      <w:r>
        <w:rPr>
          <w:rFonts w:ascii="Times New Roman" w:hAnsi="Times New Roman"/>
          <w:b/>
          <w:spacing w:val="20"/>
          <w:sz w:val="24"/>
          <w:szCs w:val="24"/>
        </w:rPr>
        <w:t>. Necessária inserção do Poder Judiciário. Legitimação dos fins pelos meios</w:t>
      </w:r>
      <w:r>
        <w:rPr>
          <w:rFonts w:ascii="Times New Roman" w:hAnsi="Times New Roman"/>
          <w:spacing w:val="20"/>
          <w:sz w:val="24"/>
          <w:szCs w:val="24"/>
        </w:rPr>
        <w:t xml:space="preserve">. É imperativo do princípio democrático a participação dos administrados na definição dos cursos da Administração. Às </w:t>
      </w:r>
      <w:proofErr w:type="spellStart"/>
      <w:r>
        <w:rPr>
          <w:rFonts w:ascii="Times New Roman" w:hAnsi="Times New Roman"/>
          <w:spacing w:val="20"/>
          <w:sz w:val="24"/>
          <w:szCs w:val="24"/>
        </w:rPr>
        <w:t>Amatras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deve ser conferido o direito de ter, como legítimas representantes dos magistrados, iniciativa para propor alterações regimentais, assento no Conselho Consultivo das respectivas </w:t>
      </w:r>
      <w:proofErr w:type="spellStart"/>
      <w:r>
        <w:rPr>
          <w:rFonts w:ascii="Times New Roman" w:hAnsi="Times New Roman"/>
          <w:spacing w:val="20"/>
          <w:sz w:val="24"/>
          <w:szCs w:val="24"/>
        </w:rPr>
        <w:t>Ejuds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>, e em todas as comissões criadas no âmbito dos Tribunais Regionais do Trabalho, tenham caráter consultivo ou deliberativo, assegurando-se que a composição destas também observe o princípio democrático, com a eleição dos membros por seus pares.</w:t>
      </w:r>
    </w:p>
    <w:p w:rsidR="00DF4A29" w:rsidRDefault="00DF4A29" w:rsidP="0084735F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DF4A29" w:rsidRDefault="00DF4A29" w:rsidP="0084735F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DF4A29" w:rsidRDefault="00DF4A29" w:rsidP="0084735F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Autor: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  <w:t>Patricia Almeida Ramos</w:t>
      </w:r>
    </w:p>
    <w:p w:rsidR="00DF4A29" w:rsidRPr="005324F6" w:rsidRDefault="00DF4A29" w:rsidP="0084735F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endereço eletrônico para comunicação:</w:t>
      </w:r>
      <w:r>
        <w:rPr>
          <w:rFonts w:ascii="Times New Roman" w:hAnsi="Times New Roman"/>
          <w:spacing w:val="20"/>
          <w:sz w:val="24"/>
          <w:szCs w:val="24"/>
        </w:rPr>
        <w:tab/>
      </w:r>
      <w:r w:rsidR="005C388A">
        <w:rPr>
          <w:rFonts w:ascii="Times New Roman" w:hAnsi="Times New Roman"/>
          <w:spacing w:val="20"/>
          <w:sz w:val="24"/>
          <w:szCs w:val="24"/>
        </w:rPr>
        <w:t>patricia_almeidaramos@yahoo.com.br</w:t>
      </w:r>
      <w:bookmarkStart w:id="0" w:name="_GoBack"/>
      <w:bookmarkEnd w:id="0"/>
    </w:p>
    <w:p w:rsidR="00DF4A29" w:rsidRDefault="00DF4A29" w:rsidP="0084735F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Defensor: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  <w:t>Fábio Ribeiro da Rocha</w:t>
      </w:r>
    </w:p>
    <w:p w:rsidR="00DF4A29" w:rsidRDefault="00DF4A29" w:rsidP="0084735F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DF4A29" w:rsidRDefault="00DF4A29" w:rsidP="0084735F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DF4A29" w:rsidRPr="0084735F" w:rsidRDefault="00DF4A29" w:rsidP="0084735F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84735F">
        <w:rPr>
          <w:rFonts w:ascii="Times New Roman" w:hAnsi="Times New Roman"/>
          <w:spacing w:val="20"/>
          <w:sz w:val="24"/>
          <w:szCs w:val="24"/>
        </w:rPr>
        <w:tab/>
      </w:r>
      <w:r w:rsidRPr="0084735F">
        <w:rPr>
          <w:rFonts w:ascii="Times New Roman" w:hAnsi="Times New Roman"/>
          <w:spacing w:val="20"/>
          <w:sz w:val="24"/>
          <w:szCs w:val="24"/>
        </w:rPr>
        <w:tab/>
      </w:r>
      <w:proofErr w:type="gramStart"/>
      <w:r w:rsidRPr="0084735F">
        <w:rPr>
          <w:rFonts w:ascii="Times New Roman" w:hAnsi="Times New Roman"/>
          <w:spacing w:val="20"/>
          <w:sz w:val="24"/>
          <w:szCs w:val="24"/>
        </w:rPr>
        <w:t xml:space="preserve">A  </w:t>
      </w:r>
      <w:r w:rsidRPr="0084735F">
        <w:rPr>
          <w:rFonts w:ascii="Times New Roman" w:hAnsi="Times New Roman"/>
          <w:smallCaps/>
          <w:spacing w:val="20"/>
          <w:sz w:val="24"/>
          <w:szCs w:val="24"/>
        </w:rPr>
        <w:t>República</w:t>
      </w:r>
      <w:proofErr w:type="gramEnd"/>
      <w:r w:rsidRPr="0084735F">
        <w:rPr>
          <w:rFonts w:ascii="Times New Roman" w:hAnsi="Times New Roman"/>
          <w:smallCaps/>
          <w:spacing w:val="20"/>
          <w:sz w:val="24"/>
          <w:szCs w:val="24"/>
        </w:rPr>
        <w:t xml:space="preserve"> Federativa do Brasil</w:t>
      </w:r>
      <w:r w:rsidRPr="0084735F">
        <w:rPr>
          <w:rFonts w:ascii="Times New Roman" w:hAnsi="Times New Roman"/>
          <w:spacing w:val="20"/>
          <w:sz w:val="24"/>
          <w:szCs w:val="24"/>
        </w:rPr>
        <w:t xml:space="preserve"> foi constituída como Estado Democrático. Assim, impõe-se a necessária realização de uma democracia </w:t>
      </w:r>
      <w:r w:rsidRPr="0084735F">
        <w:rPr>
          <w:rFonts w:ascii="Times New Roman" w:hAnsi="Times New Roman"/>
          <w:spacing w:val="20"/>
          <w:sz w:val="24"/>
          <w:szCs w:val="24"/>
          <w:u w:val="single"/>
        </w:rPr>
        <w:t>substancial</w:t>
      </w:r>
      <w:r w:rsidRPr="0084735F">
        <w:rPr>
          <w:rStyle w:val="Refdenotaderodap"/>
          <w:rFonts w:ascii="Times New Roman" w:hAnsi="Times New Roman"/>
          <w:spacing w:val="20"/>
          <w:sz w:val="24"/>
          <w:szCs w:val="24"/>
        </w:rPr>
        <w:footnoteReference w:id="1"/>
      </w:r>
      <w:r w:rsidRPr="0084735F">
        <w:rPr>
          <w:rFonts w:ascii="Times New Roman" w:hAnsi="Times New Roman"/>
          <w:spacing w:val="20"/>
          <w:sz w:val="24"/>
          <w:szCs w:val="24"/>
        </w:rPr>
        <w:t xml:space="preserve"> e </w:t>
      </w:r>
      <w:r w:rsidRPr="0084735F">
        <w:rPr>
          <w:rFonts w:ascii="Times New Roman" w:hAnsi="Times New Roman"/>
          <w:spacing w:val="20"/>
          <w:sz w:val="24"/>
          <w:szCs w:val="24"/>
          <w:u w:val="single"/>
        </w:rPr>
        <w:t>formal</w:t>
      </w:r>
      <w:r w:rsidRPr="0084735F">
        <w:rPr>
          <w:rFonts w:ascii="Times New Roman" w:hAnsi="Times New Roman"/>
          <w:spacing w:val="20"/>
          <w:sz w:val="24"/>
          <w:szCs w:val="24"/>
        </w:rPr>
        <w:t>,</w:t>
      </w:r>
      <w:r w:rsidRPr="0084735F">
        <w:rPr>
          <w:rStyle w:val="Refdenotaderodap"/>
          <w:rFonts w:ascii="Times New Roman" w:hAnsi="Times New Roman"/>
          <w:spacing w:val="20"/>
          <w:sz w:val="24"/>
          <w:szCs w:val="24"/>
        </w:rPr>
        <w:footnoteReference w:id="2"/>
      </w:r>
      <w:r w:rsidRPr="0084735F">
        <w:rPr>
          <w:rFonts w:ascii="Times New Roman" w:hAnsi="Times New Roman"/>
          <w:spacing w:val="20"/>
          <w:sz w:val="24"/>
          <w:szCs w:val="24"/>
        </w:rPr>
        <w:t xml:space="preserve"> de modo que os </w:t>
      </w:r>
      <w:r w:rsidRPr="0084735F">
        <w:rPr>
          <w:rFonts w:ascii="Times New Roman" w:hAnsi="Times New Roman"/>
          <w:i/>
          <w:spacing w:val="20"/>
          <w:sz w:val="24"/>
          <w:szCs w:val="24"/>
        </w:rPr>
        <w:t>meios</w:t>
      </w:r>
      <w:r w:rsidRPr="0084735F">
        <w:rPr>
          <w:rFonts w:ascii="Times New Roman" w:hAnsi="Times New Roman"/>
          <w:spacing w:val="20"/>
          <w:sz w:val="24"/>
          <w:szCs w:val="24"/>
        </w:rPr>
        <w:t xml:space="preserve"> e os </w:t>
      </w:r>
      <w:r w:rsidRPr="0084735F">
        <w:rPr>
          <w:rFonts w:ascii="Times New Roman" w:hAnsi="Times New Roman"/>
          <w:i/>
          <w:spacing w:val="20"/>
          <w:sz w:val="24"/>
          <w:szCs w:val="24"/>
        </w:rPr>
        <w:t>fins</w:t>
      </w:r>
      <w:r w:rsidRPr="0084735F">
        <w:rPr>
          <w:rFonts w:ascii="Times New Roman" w:hAnsi="Times New Roman"/>
          <w:spacing w:val="20"/>
          <w:sz w:val="24"/>
          <w:szCs w:val="24"/>
        </w:rPr>
        <w:t xml:space="preserve"> (</w:t>
      </w:r>
      <w:proofErr w:type="gramStart"/>
      <w:r w:rsidRPr="0084735F">
        <w:rPr>
          <w:rFonts w:ascii="Times New Roman" w:hAnsi="Times New Roman"/>
          <w:spacing w:val="20"/>
          <w:sz w:val="24"/>
          <w:szCs w:val="24"/>
        </w:rPr>
        <w:t>dentre</w:t>
      </w:r>
      <w:proofErr w:type="gramEnd"/>
      <w:r w:rsidRPr="0084735F">
        <w:rPr>
          <w:rFonts w:ascii="Times New Roman" w:hAnsi="Times New Roman"/>
          <w:spacing w:val="20"/>
          <w:sz w:val="24"/>
          <w:szCs w:val="24"/>
        </w:rPr>
        <w:t xml:space="preserve"> os quais a igualdade jurídica, social e econômica) do ideal democrático sejam concretizados através do constante aperfeiçoamento das instituições estatais.</w:t>
      </w:r>
    </w:p>
    <w:p w:rsidR="00DF4A29" w:rsidRPr="0084735F" w:rsidRDefault="00DF4A29" w:rsidP="0084735F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DF4A29" w:rsidRPr="0084735F" w:rsidRDefault="00DF4A29" w:rsidP="0084735F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84735F">
        <w:rPr>
          <w:rFonts w:ascii="Times New Roman" w:hAnsi="Times New Roman"/>
          <w:spacing w:val="20"/>
          <w:sz w:val="24"/>
          <w:szCs w:val="24"/>
        </w:rPr>
        <w:lastRenderedPageBreak/>
        <w:tab/>
      </w:r>
      <w:r w:rsidRPr="0084735F">
        <w:rPr>
          <w:rFonts w:ascii="Times New Roman" w:hAnsi="Times New Roman"/>
          <w:spacing w:val="20"/>
          <w:sz w:val="24"/>
          <w:szCs w:val="24"/>
        </w:rPr>
        <w:tab/>
        <w:t>O regime político</w:t>
      </w:r>
      <w:r w:rsidRPr="0084735F">
        <w:rPr>
          <w:rStyle w:val="Refdenotaderodap"/>
          <w:rFonts w:ascii="Times New Roman" w:hAnsi="Times New Roman"/>
          <w:spacing w:val="20"/>
          <w:sz w:val="24"/>
          <w:szCs w:val="24"/>
        </w:rPr>
        <w:footnoteReference w:id="3"/>
      </w:r>
      <w:r w:rsidRPr="0084735F">
        <w:rPr>
          <w:rFonts w:ascii="Times New Roman" w:hAnsi="Times New Roman"/>
          <w:spacing w:val="20"/>
          <w:sz w:val="24"/>
          <w:szCs w:val="24"/>
        </w:rPr>
        <w:t xml:space="preserve"> democrático, partindo-se da lição de </w:t>
      </w:r>
      <w:r w:rsidRPr="0084735F">
        <w:rPr>
          <w:rFonts w:ascii="Times New Roman" w:hAnsi="Times New Roman"/>
          <w:smallCaps/>
          <w:spacing w:val="20"/>
          <w:sz w:val="24"/>
          <w:szCs w:val="24"/>
        </w:rPr>
        <w:t xml:space="preserve">Maurice </w:t>
      </w:r>
      <w:proofErr w:type="spellStart"/>
      <w:r w:rsidRPr="0084735F">
        <w:rPr>
          <w:rFonts w:ascii="Times New Roman" w:hAnsi="Times New Roman"/>
          <w:smallCaps/>
          <w:spacing w:val="20"/>
          <w:sz w:val="24"/>
          <w:szCs w:val="24"/>
        </w:rPr>
        <w:t>Duverger</w:t>
      </w:r>
      <w:proofErr w:type="spellEnd"/>
      <w:r w:rsidRPr="0084735F">
        <w:rPr>
          <w:rFonts w:ascii="Times New Roman" w:hAnsi="Times New Roman"/>
          <w:spacing w:val="20"/>
          <w:sz w:val="24"/>
          <w:szCs w:val="24"/>
        </w:rPr>
        <w:t xml:space="preserve"> (</w:t>
      </w:r>
      <w:r w:rsidRPr="0084735F">
        <w:rPr>
          <w:rFonts w:ascii="Times New Roman" w:hAnsi="Times New Roman"/>
          <w:i/>
          <w:spacing w:val="20"/>
          <w:sz w:val="24"/>
          <w:szCs w:val="24"/>
        </w:rPr>
        <w:t>apud</w:t>
      </w:r>
      <w:r w:rsidRPr="0084735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4735F">
        <w:rPr>
          <w:rFonts w:ascii="Times New Roman" w:hAnsi="Times New Roman"/>
          <w:smallCaps/>
          <w:spacing w:val="20"/>
          <w:sz w:val="24"/>
          <w:szCs w:val="24"/>
        </w:rPr>
        <w:t>José Afonso da Silva</w:t>
      </w:r>
      <w:r w:rsidRPr="0084735F">
        <w:rPr>
          <w:rFonts w:ascii="Times New Roman" w:hAnsi="Times New Roman"/>
          <w:spacing w:val="20"/>
          <w:sz w:val="24"/>
          <w:szCs w:val="24"/>
        </w:rPr>
        <w:t xml:space="preserve">, </w:t>
      </w:r>
      <w:r w:rsidRPr="0084735F">
        <w:rPr>
          <w:rFonts w:ascii="Times New Roman" w:hAnsi="Times New Roman"/>
          <w:i/>
          <w:spacing w:val="20"/>
          <w:sz w:val="24"/>
          <w:szCs w:val="24"/>
        </w:rPr>
        <w:t>Comentário contextual à Constituição</w:t>
      </w:r>
      <w:r w:rsidRPr="0084735F">
        <w:rPr>
          <w:rFonts w:ascii="Times New Roman" w:hAnsi="Times New Roman"/>
          <w:spacing w:val="20"/>
          <w:sz w:val="24"/>
          <w:szCs w:val="24"/>
        </w:rPr>
        <w:t>, p. 41-42), supõe a participação dos governados, através da eleição de seus governantes e participação, direta ou por representantes, na definição de políticas a serem adotadas pela Administração Pública.</w:t>
      </w:r>
    </w:p>
    <w:p w:rsidR="00DF4A29" w:rsidRPr="0084735F" w:rsidRDefault="00DF4A29" w:rsidP="0084735F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DF4A29" w:rsidRPr="0084735F" w:rsidRDefault="00DF4A29" w:rsidP="0084735F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84735F">
        <w:rPr>
          <w:rFonts w:ascii="Times New Roman" w:hAnsi="Times New Roman"/>
          <w:spacing w:val="20"/>
          <w:sz w:val="24"/>
          <w:szCs w:val="24"/>
        </w:rPr>
        <w:tab/>
      </w:r>
      <w:r w:rsidRPr="0084735F">
        <w:rPr>
          <w:rFonts w:ascii="Times New Roman" w:hAnsi="Times New Roman"/>
          <w:spacing w:val="20"/>
          <w:sz w:val="24"/>
          <w:szCs w:val="24"/>
        </w:rPr>
        <w:tab/>
        <w:t>Ressalte-se que a expressão ‘Administração Pública’ não se restringe ao Poder Executivo (onde o exercício da função administrativa é mais evidente), mas também aos Poderes Legislativo e Judiciário, que exercem de forma atípica, mas de forma significativa, a função administrativa, sobretudo nas relações com seus membros e servidores.</w:t>
      </w:r>
    </w:p>
    <w:p w:rsidR="00DF4A29" w:rsidRPr="0084735F" w:rsidRDefault="00DF4A29" w:rsidP="0084735F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DF4A29" w:rsidRPr="0084735F" w:rsidRDefault="00DF4A29" w:rsidP="0084735F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84735F">
        <w:rPr>
          <w:rFonts w:ascii="Times New Roman" w:hAnsi="Times New Roman"/>
          <w:spacing w:val="20"/>
          <w:sz w:val="24"/>
          <w:szCs w:val="24"/>
        </w:rPr>
        <w:tab/>
      </w:r>
      <w:r w:rsidRPr="0084735F">
        <w:rPr>
          <w:rFonts w:ascii="Times New Roman" w:hAnsi="Times New Roman"/>
          <w:spacing w:val="20"/>
          <w:sz w:val="24"/>
          <w:szCs w:val="24"/>
        </w:rPr>
        <w:tab/>
        <w:t xml:space="preserve">Em atenção a esses valores e com o escopo de ampliação da inserção dos destinatários no processo de tomada de decisões administrativas – pois “toda democracia importa </w:t>
      </w:r>
      <w:r w:rsidRPr="0084735F">
        <w:rPr>
          <w:rFonts w:ascii="Times New Roman" w:hAnsi="Times New Roman"/>
          <w:i/>
          <w:spacing w:val="20"/>
          <w:sz w:val="24"/>
          <w:szCs w:val="24"/>
        </w:rPr>
        <w:t>participação do povo</w:t>
      </w:r>
      <w:r w:rsidRPr="0084735F">
        <w:rPr>
          <w:rStyle w:val="Refdenotaderodap"/>
          <w:rFonts w:ascii="Times New Roman" w:hAnsi="Times New Roman"/>
          <w:i/>
          <w:spacing w:val="20"/>
          <w:sz w:val="24"/>
          <w:szCs w:val="24"/>
        </w:rPr>
        <w:footnoteReference w:id="4"/>
      </w:r>
      <w:r w:rsidRPr="0084735F">
        <w:rPr>
          <w:rFonts w:ascii="Times New Roman" w:hAnsi="Times New Roman"/>
          <w:spacing w:val="20"/>
          <w:sz w:val="24"/>
          <w:szCs w:val="24"/>
        </w:rPr>
        <w:t xml:space="preserve"> no </w:t>
      </w:r>
      <w:r w:rsidRPr="0084735F">
        <w:rPr>
          <w:rFonts w:ascii="Times New Roman" w:hAnsi="Times New Roman"/>
          <w:i/>
          <w:spacing w:val="20"/>
          <w:sz w:val="24"/>
          <w:szCs w:val="24"/>
        </w:rPr>
        <w:t>processo do poder</w:t>
      </w:r>
      <w:r w:rsidRPr="0084735F">
        <w:rPr>
          <w:rFonts w:ascii="Times New Roman" w:hAnsi="Times New Roman"/>
          <w:spacing w:val="20"/>
          <w:sz w:val="24"/>
          <w:szCs w:val="24"/>
        </w:rPr>
        <w:t>” (</w:t>
      </w:r>
      <w:r w:rsidRPr="0084735F">
        <w:rPr>
          <w:rFonts w:ascii="Times New Roman" w:hAnsi="Times New Roman"/>
          <w:smallCaps/>
          <w:spacing w:val="20"/>
          <w:sz w:val="24"/>
          <w:szCs w:val="24"/>
        </w:rPr>
        <w:t>José Afonso da Silva</w:t>
      </w:r>
      <w:r w:rsidRPr="0084735F">
        <w:rPr>
          <w:rFonts w:ascii="Times New Roman" w:hAnsi="Times New Roman"/>
          <w:spacing w:val="20"/>
          <w:sz w:val="24"/>
          <w:szCs w:val="24"/>
        </w:rPr>
        <w:t xml:space="preserve">, </w:t>
      </w:r>
      <w:r w:rsidRPr="0084735F">
        <w:rPr>
          <w:rFonts w:ascii="Times New Roman" w:hAnsi="Times New Roman"/>
          <w:i/>
          <w:spacing w:val="20"/>
          <w:sz w:val="24"/>
          <w:szCs w:val="24"/>
        </w:rPr>
        <w:t>Comentário contextual à Constituição</w:t>
      </w:r>
      <w:r w:rsidRPr="0084735F">
        <w:rPr>
          <w:rFonts w:ascii="Times New Roman" w:hAnsi="Times New Roman"/>
          <w:spacing w:val="20"/>
          <w:sz w:val="24"/>
          <w:szCs w:val="24"/>
        </w:rPr>
        <w:t xml:space="preserve">, p. 41) –, os Regimento Internos dos Tribunais Regionais do Trabalho devem ser alterados para atribuir às </w:t>
      </w:r>
      <w:proofErr w:type="spellStart"/>
      <w:r w:rsidRPr="0084735F">
        <w:rPr>
          <w:rFonts w:ascii="Times New Roman" w:hAnsi="Times New Roman"/>
          <w:spacing w:val="20"/>
          <w:sz w:val="24"/>
          <w:szCs w:val="24"/>
        </w:rPr>
        <w:t>Amatras</w:t>
      </w:r>
      <w:proofErr w:type="spellEnd"/>
      <w:r w:rsidRPr="0084735F">
        <w:rPr>
          <w:rFonts w:ascii="Times New Roman" w:hAnsi="Times New Roman"/>
          <w:spacing w:val="20"/>
          <w:sz w:val="24"/>
          <w:szCs w:val="24"/>
        </w:rPr>
        <w:t xml:space="preserve"> a legitimidade para propor alterações regimentais, </w:t>
      </w:r>
      <w:r>
        <w:rPr>
          <w:rFonts w:ascii="Times New Roman" w:hAnsi="Times New Roman"/>
          <w:spacing w:val="20"/>
          <w:sz w:val="24"/>
          <w:szCs w:val="24"/>
        </w:rPr>
        <w:t xml:space="preserve">e </w:t>
      </w:r>
      <w:r w:rsidRPr="0084735F">
        <w:rPr>
          <w:rFonts w:ascii="Times New Roman" w:hAnsi="Times New Roman"/>
          <w:spacing w:val="20"/>
          <w:sz w:val="24"/>
          <w:szCs w:val="24"/>
        </w:rPr>
        <w:t>conceder</w:t>
      </w:r>
      <w:r>
        <w:rPr>
          <w:rFonts w:ascii="Times New Roman" w:hAnsi="Times New Roman"/>
          <w:spacing w:val="20"/>
          <w:sz w:val="24"/>
          <w:szCs w:val="24"/>
        </w:rPr>
        <w:t>-lhes</w:t>
      </w:r>
      <w:r w:rsidRPr="0084735F">
        <w:rPr>
          <w:rFonts w:ascii="Times New Roman" w:hAnsi="Times New Roman"/>
          <w:spacing w:val="20"/>
          <w:sz w:val="24"/>
          <w:szCs w:val="24"/>
        </w:rPr>
        <w:t xml:space="preserve"> assento no Conselho Consultivo da</w:t>
      </w:r>
      <w:r>
        <w:rPr>
          <w:rFonts w:ascii="Times New Roman" w:hAnsi="Times New Roman"/>
          <w:spacing w:val="20"/>
          <w:sz w:val="24"/>
          <w:szCs w:val="24"/>
        </w:rPr>
        <w:t>s respectivas</w:t>
      </w:r>
      <w:r w:rsidRPr="0084735F"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 w:rsidRPr="0084735F">
        <w:rPr>
          <w:rFonts w:ascii="Times New Roman" w:hAnsi="Times New Roman"/>
          <w:spacing w:val="20"/>
          <w:sz w:val="24"/>
          <w:szCs w:val="24"/>
        </w:rPr>
        <w:t>EJUD</w:t>
      </w:r>
      <w:r>
        <w:rPr>
          <w:rFonts w:ascii="Times New Roman" w:hAnsi="Times New Roman"/>
          <w:spacing w:val="20"/>
          <w:sz w:val="24"/>
          <w:szCs w:val="24"/>
        </w:rPr>
        <w:t>s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e</w:t>
      </w:r>
      <w:r w:rsidRPr="0084735F">
        <w:rPr>
          <w:rFonts w:ascii="Times New Roman" w:hAnsi="Times New Roman"/>
          <w:spacing w:val="20"/>
          <w:sz w:val="24"/>
          <w:szCs w:val="24"/>
        </w:rPr>
        <w:t xml:space="preserve"> participação em todas as comissões</w:t>
      </w:r>
      <w:r>
        <w:rPr>
          <w:rFonts w:ascii="Times New Roman" w:hAnsi="Times New Roman"/>
          <w:spacing w:val="20"/>
          <w:sz w:val="24"/>
          <w:szCs w:val="24"/>
        </w:rPr>
        <w:t xml:space="preserve"> formadas no âmbito dos Tribunais que tenham caráter consultivo ou deliberativo, assegurando-se, não obstante, que a composição destas seja feita de forma democrática, através da eleição por seus pares</w:t>
      </w:r>
      <w:r w:rsidRPr="0084735F">
        <w:rPr>
          <w:rFonts w:ascii="Times New Roman" w:hAnsi="Times New Roman"/>
          <w:spacing w:val="20"/>
          <w:sz w:val="24"/>
          <w:szCs w:val="24"/>
        </w:rPr>
        <w:t>.</w:t>
      </w:r>
    </w:p>
    <w:p w:rsidR="00DF4A29" w:rsidRPr="0084735F" w:rsidRDefault="00DF4A29" w:rsidP="0084735F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DF4A29" w:rsidRDefault="00DF4A29" w:rsidP="00A03925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Bibliografia</w:t>
      </w:r>
    </w:p>
    <w:p w:rsidR="00DF4A29" w:rsidRDefault="00DF4A29" w:rsidP="00A03925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DF4A29" w:rsidRDefault="00DF4A29" w:rsidP="00A03925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BOBBIO, Norberto; </w:t>
      </w:r>
      <w:r>
        <w:rPr>
          <w:rFonts w:ascii="Times New Roman" w:hAnsi="Times New Roman"/>
          <w:i/>
          <w:spacing w:val="20"/>
          <w:sz w:val="24"/>
          <w:szCs w:val="24"/>
        </w:rPr>
        <w:t>et alii</w:t>
      </w:r>
      <w:r>
        <w:rPr>
          <w:rFonts w:ascii="Times New Roman" w:hAnsi="Times New Roman"/>
          <w:spacing w:val="20"/>
          <w:sz w:val="24"/>
          <w:szCs w:val="24"/>
        </w:rPr>
        <w:t xml:space="preserve">. </w:t>
      </w:r>
      <w:r>
        <w:rPr>
          <w:rFonts w:ascii="Times New Roman" w:hAnsi="Times New Roman"/>
          <w:i/>
          <w:spacing w:val="20"/>
          <w:sz w:val="24"/>
          <w:szCs w:val="24"/>
        </w:rPr>
        <w:t>Dicionário de política, v.1</w:t>
      </w:r>
      <w:r>
        <w:rPr>
          <w:rFonts w:ascii="Times New Roman" w:hAnsi="Times New Roman"/>
          <w:spacing w:val="20"/>
          <w:sz w:val="24"/>
          <w:szCs w:val="24"/>
        </w:rPr>
        <w:t>. 13ª ed., Brasília: Editora UnB, 2009.</w:t>
      </w:r>
    </w:p>
    <w:p w:rsidR="00DF4A29" w:rsidRDefault="00DF4A29" w:rsidP="00A03925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DF4A29" w:rsidRPr="00A03925" w:rsidRDefault="00DF4A29" w:rsidP="00A03925">
      <w:pPr>
        <w:spacing w:after="0"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lastRenderedPageBreak/>
        <w:t xml:space="preserve">SILVA, José Afonso da. </w:t>
      </w:r>
      <w:r>
        <w:rPr>
          <w:rFonts w:ascii="Times New Roman" w:hAnsi="Times New Roman"/>
          <w:i/>
          <w:spacing w:val="20"/>
          <w:sz w:val="24"/>
          <w:szCs w:val="24"/>
        </w:rPr>
        <w:t>Comentário contextual à Constituição</w:t>
      </w:r>
      <w:r>
        <w:rPr>
          <w:rFonts w:ascii="Times New Roman" w:hAnsi="Times New Roman"/>
          <w:spacing w:val="20"/>
          <w:sz w:val="24"/>
          <w:szCs w:val="24"/>
        </w:rPr>
        <w:t>. 6ª ed., São Paulo: Malheiros, 2009.</w:t>
      </w:r>
    </w:p>
    <w:sectPr w:rsidR="00DF4A29" w:rsidRPr="00A03925" w:rsidSect="00112E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08C" w:rsidRDefault="003B108C" w:rsidP="0084735F">
      <w:pPr>
        <w:spacing w:after="0" w:line="240" w:lineRule="auto"/>
      </w:pPr>
      <w:r>
        <w:separator/>
      </w:r>
    </w:p>
  </w:endnote>
  <w:endnote w:type="continuationSeparator" w:id="0">
    <w:p w:rsidR="003B108C" w:rsidRDefault="003B108C" w:rsidP="0084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08C" w:rsidRDefault="003B108C" w:rsidP="0084735F">
      <w:pPr>
        <w:spacing w:after="0" w:line="240" w:lineRule="auto"/>
      </w:pPr>
      <w:r>
        <w:separator/>
      </w:r>
    </w:p>
  </w:footnote>
  <w:footnote w:type="continuationSeparator" w:id="0">
    <w:p w:rsidR="003B108C" w:rsidRDefault="003B108C" w:rsidP="0084735F">
      <w:pPr>
        <w:spacing w:after="0" w:line="240" w:lineRule="auto"/>
      </w:pPr>
      <w:r>
        <w:continuationSeparator/>
      </w:r>
    </w:p>
  </w:footnote>
  <w:footnote w:id="1">
    <w:p w:rsidR="00DF4A29" w:rsidRDefault="00DF4A29" w:rsidP="0084735F">
      <w:pPr>
        <w:pStyle w:val="Textodenotaderodap"/>
        <w:spacing w:after="120"/>
      </w:pPr>
      <w:r w:rsidRPr="0084735F">
        <w:rPr>
          <w:rStyle w:val="Refdenotaderodap"/>
          <w:rFonts w:ascii="Times New Roman" w:hAnsi="Times New Roman"/>
          <w:sz w:val="18"/>
          <w:szCs w:val="18"/>
        </w:rPr>
        <w:footnoteRef/>
      </w:r>
      <w:r w:rsidRPr="0084735F">
        <w:rPr>
          <w:rFonts w:ascii="Times New Roman" w:hAnsi="Times New Roman"/>
          <w:sz w:val="18"/>
          <w:szCs w:val="18"/>
        </w:rPr>
        <w:t xml:space="preserve"> </w:t>
      </w:r>
      <w:r w:rsidRPr="0084735F">
        <w:rPr>
          <w:rFonts w:ascii="Times New Roman" w:hAnsi="Times New Roman"/>
          <w:i/>
          <w:sz w:val="18"/>
          <w:szCs w:val="18"/>
        </w:rPr>
        <w:t>Representativa</w:t>
      </w:r>
      <w:r w:rsidRPr="0084735F">
        <w:rPr>
          <w:rFonts w:ascii="Times New Roman" w:hAnsi="Times New Roman"/>
          <w:sz w:val="18"/>
          <w:szCs w:val="18"/>
        </w:rPr>
        <w:t xml:space="preserve">, segundo a tradição liberal, e </w:t>
      </w:r>
      <w:r w:rsidRPr="0084735F">
        <w:rPr>
          <w:rFonts w:ascii="Times New Roman" w:hAnsi="Times New Roman"/>
          <w:i/>
          <w:sz w:val="18"/>
          <w:szCs w:val="18"/>
        </w:rPr>
        <w:t>direta</w:t>
      </w:r>
      <w:r w:rsidRPr="0084735F">
        <w:rPr>
          <w:rFonts w:ascii="Times New Roman" w:hAnsi="Times New Roman"/>
          <w:sz w:val="18"/>
          <w:szCs w:val="18"/>
        </w:rPr>
        <w:t xml:space="preserve">, na socialista, ideologias entrelaçadas na formação das instituições brasileiras, conforme se verifica nos </w:t>
      </w:r>
      <w:proofErr w:type="spellStart"/>
      <w:r w:rsidRPr="0084735F">
        <w:rPr>
          <w:rFonts w:ascii="Times New Roman" w:hAnsi="Times New Roman"/>
          <w:sz w:val="18"/>
          <w:szCs w:val="18"/>
        </w:rPr>
        <w:t>arts</w:t>
      </w:r>
      <w:proofErr w:type="spellEnd"/>
      <w:r w:rsidRPr="0084735F">
        <w:rPr>
          <w:rFonts w:ascii="Times New Roman" w:hAnsi="Times New Roman"/>
          <w:sz w:val="18"/>
          <w:szCs w:val="18"/>
        </w:rPr>
        <w:t>. 1º, parágrafo único, e 14, I a III, da Constituição Federal.</w:t>
      </w:r>
    </w:p>
  </w:footnote>
  <w:footnote w:id="2">
    <w:p w:rsidR="00DF4A29" w:rsidRDefault="00DF4A29" w:rsidP="0084735F">
      <w:pPr>
        <w:pStyle w:val="Textodenotaderodap"/>
        <w:spacing w:after="120"/>
      </w:pPr>
      <w:r w:rsidRPr="0084735F">
        <w:rPr>
          <w:rStyle w:val="Refdenotaderodap"/>
          <w:rFonts w:ascii="Times New Roman" w:hAnsi="Times New Roman"/>
          <w:sz w:val="18"/>
          <w:szCs w:val="18"/>
        </w:rPr>
        <w:footnoteRef/>
      </w:r>
      <w:r w:rsidRPr="0084735F">
        <w:rPr>
          <w:rFonts w:ascii="Times New Roman" w:hAnsi="Times New Roman"/>
          <w:sz w:val="18"/>
          <w:szCs w:val="18"/>
        </w:rPr>
        <w:t xml:space="preserve"> “Um método ou um conjunto de regras de procedimento para a constituição de Governo e para a formação das decisões políticas (ou seja das decisões que abrangem a toda a comunidade)”, </w:t>
      </w:r>
      <w:r w:rsidRPr="0084735F">
        <w:rPr>
          <w:rFonts w:ascii="Times New Roman" w:hAnsi="Times New Roman"/>
          <w:smallCaps/>
          <w:sz w:val="18"/>
          <w:szCs w:val="18"/>
        </w:rPr>
        <w:t>N. Bobbio</w:t>
      </w:r>
      <w:r w:rsidRPr="0084735F">
        <w:rPr>
          <w:rFonts w:ascii="Times New Roman" w:hAnsi="Times New Roman"/>
          <w:sz w:val="18"/>
          <w:szCs w:val="18"/>
        </w:rPr>
        <w:t xml:space="preserve">, verbete ‘Democracia’ </w:t>
      </w:r>
      <w:r w:rsidRPr="0084735F">
        <w:rPr>
          <w:rFonts w:ascii="Times New Roman" w:hAnsi="Times New Roman"/>
          <w:i/>
          <w:sz w:val="18"/>
          <w:szCs w:val="18"/>
        </w:rPr>
        <w:t>in</w:t>
      </w:r>
      <w:r w:rsidRPr="0084735F">
        <w:rPr>
          <w:rFonts w:ascii="Times New Roman" w:hAnsi="Times New Roman"/>
          <w:sz w:val="18"/>
          <w:szCs w:val="18"/>
        </w:rPr>
        <w:t xml:space="preserve"> </w:t>
      </w:r>
      <w:r w:rsidRPr="0084735F">
        <w:rPr>
          <w:rFonts w:ascii="Times New Roman" w:hAnsi="Times New Roman"/>
          <w:i/>
          <w:sz w:val="18"/>
          <w:szCs w:val="18"/>
        </w:rPr>
        <w:t>Dicionário de política, v.1</w:t>
      </w:r>
      <w:r w:rsidRPr="0084735F">
        <w:rPr>
          <w:rFonts w:ascii="Times New Roman" w:hAnsi="Times New Roman"/>
          <w:sz w:val="18"/>
          <w:szCs w:val="18"/>
        </w:rPr>
        <w:t>, p. 326.</w:t>
      </w:r>
    </w:p>
  </w:footnote>
  <w:footnote w:id="3">
    <w:p w:rsidR="00DF4A29" w:rsidRDefault="00DF4A29" w:rsidP="0084735F">
      <w:pPr>
        <w:pStyle w:val="Textodenotaderodap"/>
        <w:spacing w:after="120"/>
      </w:pPr>
      <w:r w:rsidRPr="0084735F">
        <w:rPr>
          <w:rStyle w:val="Refdenotaderodap"/>
          <w:rFonts w:ascii="Times New Roman" w:hAnsi="Times New Roman"/>
          <w:sz w:val="18"/>
          <w:szCs w:val="18"/>
        </w:rPr>
        <w:footnoteRef/>
      </w:r>
      <w:r w:rsidRPr="0084735F">
        <w:rPr>
          <w:rFonts w:ascii="Times New Roman" w:hAnsi="Times New Roman"/>
          <w:sz w:val="18"/>
          <w:szCs w:val="18"/>
        </w:rPr>
        <w:t xml:space="preserve"> “Conjunto de respostas a quatro problemas fundamentais relativos à (a) </w:t>
      </w:r>
      <w:r w:rsidRPr="0084735F">
        <w:rPr>
          <w:rFonts w:ascii="Times New Roman" w:hAnsi="Times New Roman"/>
          <w:i/>
          <w:sz w:val="18"/>
          <w:szCs w:val="18"/>
        </w:rPr>
        <w:t>autoridade dos governantes</w:t>
      </w:r>
      <w:r w:rsidRPr="0084735F">
        <w:rPr>
          <w:rFonts w:ascii="Times New Roman" w:hAnsi="Times New Roman"/>
          <w:sz w:val="18"/>
          <w:szCs w:val="18"/>
        </w:rPr>
        <w:t xml:space="preserve"> e sua obediência; (b) </w:t>
      </w:r>
      <w:r w:rsidRPr="0084735F">
        <w:rPr>
          <w:rFonts w:ascii="Times New Roman" w:hAnsi="Times New Roman"/>
          <w:i/>
          <w:sz w:val="18"/>
          <w:szCs w:val="18"/>
        </w:rPr>
        <w:t>escolha dos governantes</w:t>
      </w:r>
      <w:r w:rsidRPr="0084735F">
        <w:rPr>
          <w:rFonts w:ascii="Times New Roman" w:hAnsi="Times New Roman"/>
          <w:sz w:val="18"/>
          <w:szCs w:val="18"/>
        </w:rPr>
        <w:t xml:space="preserve">; (c) </w:t>
      </w:r>
      <w:r w:rsidRPr="0084735F">
        <w:rPr>
          <w:rFonts w:ascii="Times New Roman" w:hAnsi="Times New Roman"/>
          <w:i/>
          <w:sz w:val="18"/>
          <w:szCs w:val="18"/>
        </w:rPr>
        <w:t>estrutura dos governantes</w:t>
      </w:r>
      <w:r w:rsidRPr="0084735F">
        <w:rPr>
          <w:rFonts w:ascii="Times New Roman" w:hAnsi="Times New Roman"/>
          <w:sz w:val="18"/>
          <w:szCs w:val="18"/>
        </w:rPr>
        <w:t xml:space="preserve">; (d) </w:t>
      </w:r>
      <w:r w:rsidRPr="0084735F">
        <w:rPr>
          <w:rFonts w:ascii="Times New Roman" w:hAnsi="Times New Roman"/>
          <w:i/>
          <w:sz w:val="18"/>
          <w:szCs w:val="18"/>
        </w:rPr>
        <w:t>limitação dos governantes</w:t>
      </w:r>
      <w:r w:rsidRPr="0084735F">
        <w:rPr>
          <w:rFonts w:ascii="Times New Roman" w:hAnsi="Times New Roman"/>
          <w:sz w:val="18"/>
          <w:szCs w:val="18"/>
        </w:rPr>
        <w:t>”.</w:t>
      </w:r>
    </w:p>
  </w:footnote>
  <w:footnote w:id="4">
    <w:p w:rsidR="00DF4A29" w:rsidRDefault="00DF4A29" w:rsidP="0084735F">
      <w:pPr>
        <w:pStyle w:val="Textodenotaderodap"/>
      </w:pPr>
      <w:r w:rsidRPr="0084735F">
        <w:rPr>
          <w:rStyle w:val="Refdenotaderodap"/>
          <w:rFonts w:ascii="Times New Roman" w:hAnsi="Times New Roman"/>
          <w:sz w:val="18"/>
          <w:szCs w:val="18"/>
        </w:rPr>
        <w:footnoteRef/>
      </w:r>
      <w:r w:rsidRPr="0084735F">
        <w:rPr>
          <w:rFonts w:ascii="Times New Roman" w:hAnsi="Times New Roman"/>
          <w:sz w:val="18"/>
          <w:szCs w:val="18"/>
        </w:rPr>
        <w:t xml:space="preserve"> O conceito de ‘povo’ deve ser compreendido contextualmente como o conjunto de pessoas sujeitas ao órgão de poder, formando um </w:t>
      </w:r>
      <w:proofErr w:type="spellStart"/>
      <w:r w:rsidRPr="0084735F">
        <w:rPr>
          <w:rFonts w:ascii="Times New Roman" w:hAnsi="Times New Roman"/>
          <w:sz w:val="18"/>
          <w:szCs w:val="18"/>
        </w:rPr>
        <w:t>micro-sistema</w:t>
      </w:r>
      <w:proofErr w:type="spellEnd"/>
      <w:r w:rsidRPr="0084735F">
        <w:rPr>
          <w:rFonts w:ascii="Times New Roman" w:hAnsi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5F"/>
    <w:rsid w:val="00112EF2"/>
    <w:rsid w:val="0025665A"/>
    <w:rsid w:val="003B108C"/>
    <w:rsid w:val="005324F6"/>
    <w:rsid w:val="005C388A"/>
    <w:rsid w:val="007835AE"/>
    <w:rsid w:val="0084735F"/>
    <w:rsid w:val="00A03925"/>
    <w:rsid w:val="00AE1ABE"/>
    <w:rsid w:val="00B47345"/>
    <w:rsid w:val="00BD025B"/>
    <w:rsid w:val="00C31E1E"/>
    <w:rsid w:val="00D2724F"/>
    <w:rsid w:val="00D4040D"/>
    <w:rsid w:val="00DF4A29"/>
    <w:rsid w:val="00E617E7"/>
    <w:rsid w:val="00EB55E0"/>
    <w:rsid w:val="00F07F29"/>
    <w:rsid w:val="00F41006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0AB127-23E8-475F-A4AA-9F61E029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35F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84735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84735F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8473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Chamone</dc:creator>
  <cp:keywords/>
  <dc:description/>
  <cp:lastModifiedBy>jornalista</cp:lastModifiedBy>
  <cp:revision>3</cp:revision>
  <dcterms:created xsi:type="dcterms:W3CDTF">2016-03-28T20:05:00Z</dcterms:created>
  <dcterms:modified xsi:type="dcterms:W3CDTF">2016-03-28T20:10:00Z</dcterms:modified>
</cp:coreProperties>
</file>