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TÍTULO</w:t>
      </w:r>
    </w:p>
    <w:p w:rsidR="00B6160F" w:rsidRDefault="00B6160F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RECONHECIMENTO DE VALOR INCONTROVERSO PELA(O) EXECUTADA(O) EM SEDE DE EMBARGOS À EXECUÇÃO, CLASSIFICADA COMO ENTIDADE BENEFICENTE, IMPORTA EM CONFISSÃO DE DÍVIDA E IMPÕE IMEDIATO BLOQUEIO DO VALOR RECONHECIDO.</w:t>
      </w:r>
    </w:p>
    <w:p w:rsidR="00B6160F" w:rsidRDefault="00B6160F">
      <w:pPr>
        <w:spacing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SUBTEMA II -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INTERVENÇÃO MÍNIMA, LIMITAÇÕES À ATUAÇÃO JURISDICIONAL E INDEPENDÊNCIA DO JUIZ </w:t>
      </w: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EMENTA</w:t>
      </w:r>
    </w:p>
    <w:p w:rsidR="00B6160F" w:rsidRDefault="00B6160F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Necessária a preservação do impulso oficial na condução da fase de execução, na busca da efetividade de suas decisões, em face da nova regra de não exigência da gara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ntia da execução ou penhora de bens das entidades filantrópicas e beneficentes para apresentação de embargos à execução, em observância as disposições do §6º do artigo 884 da CLT. </w:t>
      </w: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JUSTIFICATIVA</w:t>
      </w:r>
    </w:p>
    <w:p w:rsidR="00B6160F" w:rsidRDefault="00A321C6">
      <w:pPr>
        <w:spacing w:line="240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presente tese se justifica na necessidade de se preservar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imediata satisfação do crédito do Exequente, reconhecido pela executada, classificada como entidade beneficente, nos termos da Lei 12.101/2009, em sede de embargos à execução, em face da dispensa de garantia da execução ou penhora de seus bens, conforme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alteração promovida pela Lei 13.467/2017, que acrescentou o §6º no art. 884 da CLT.</w:t>
      </w: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 §6º do art. 884 da CLT, com o texto incluído pela Lei 13.467/2017, dispõe:</w:t>
      </w:r>
    </w:p>
    <w:p w:rsidR="00B6160F" w:rsidRDefault="00B6160F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160F" w:rsidRDefault="00A321C6">
      <w:pPr>
        <w:spacing w:line="240" w:lineRule="exact"/>
        <w:ind w:left="2268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Art. 884 - Garantida a execução ou penhorados os bens, terá o executado 5 (cinco) dias para a</w:t>
      </w:r>
      <w:r>
        <w:rPr>
          <w:rFonts w:ascii="Times New Roman" w:eastAsia="Times New Roman" w:hAnsi="Times New Roman" w:cs="Times New Roman"/>
          <w:color w:val="00000A"/>
          <w:sz w:val="24"/>
        </w:rPr>
        <w:t>presentar embargos, cabendo igual prazo ao exequente para impugnação. (...)</w:t>
      </w:r>
    </w:p>
    <w:p w:rsidR="00B6160F" w:rsidRDefault="00A321C6">
      <w:pPr>
        <w:spacing w:line="240" w:lineRule="exact"/>
        <w:ind w:left="2268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§ 6º A exigência da garantia ou penhora não se aplica às entidades filantrópicas e/ou àqueles que compõem ou compuseram a diretoria dessas instituições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6160F" w:rsidRDefault="00B6160F">
      <w:pPr>
        <w:spacing w:line="240" w:lineRule="exact"/>
        <w:ind w:left="226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160F" w:rsidRDefault="00A321C6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 inexigibilidade da </w:t>
      </w:r>
      <w:r>
        <w:rPr>
          <w:rFonts w:ascii="Times New Roman" w:eastAsia="Times New Roman" w:hAnsi="Times New Roman" w:cs="Times New Roman"/>
          <w:color w:val="00000A"/>
          <w:sz w:val="24"/>
        </w:rPr>
        <w:t>garantia ou da penhora em favor das entidades filantrópicas dá-lhes o direito de embargar a execução no prazo de cinco dias contados da mera citação executiva, tal como ocorre com a Fazenda Pública.</w:t>
      </w:r>
    </w:p>
    <w:p w:rsidR="00B6160F" w:rsidRDefault="00A321C6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Do ponto de vista jurídico deve ser considerado o benefíc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io não somente para as entidades filantrópicas, mas as entidades beneficentes, uma vez que a Lei 12.101/2009 passou a igualá-las. </w:t>
      </w:r>
    </w:p>
    <w:p w:rsidR="00B6160F" w:rsidRDefault="00A321C6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Os embargos à execução além de observarem o requisito da tempestividade, também deverá apresentar impugnação específica aos p</w:t>
      </w:r>
      <w:r>
        <w:rPr>
          <w:rFonts w:ascii="Times New Roman" w:eastAsia="Times New Roman" w:hAnsi="Times New Roman" w:cs="Times New Roman"/>
          <w:color w:val="000000"/>
          <w:sz w:val="24"/>
        </w:rPr>
        <w:t>ontos da sentença de liquidação, ou seja, especificidade crítica e fundamentada aos cálculos, as razões pelas quais a conta deva ser reformulada, com apresentação da quantificação que entenda como correta.</w:t>
      </w:r>
    </w:p>
    <w:p w:rsidR="00B6160F" w:rsidRDefault="00A321C6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Ora, tais premissas ensejam a apresentação de memó</w:t>
      </w:r>
      <w:r>
        <w:rPr>
          <w:rFonts w:ascii="Times New Roman" w:eastAsia="Times New Roman" w:hAnsi="Times New Roman" w:cs="Times New Roman"/>
          <w:color w:val="000000"/>
          <w:sz w:val="24"/>
        </w:rPr>
        <w:t>ria de cálculo pela parte Embargante, corrigindo as impugnações suscitadas, sob pena de não atender ao comando do dispositivo legal em comento. Ao delimitar e apresentar o valor que entende correto, nada mais há que se discutir quanto a este, tornando-se 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ssim incontroverso, autorizando a sua cobrança imediata, sobejando a discussão apenas para os valores que ultrapassarem esse teto. </w:t>
      </w:r>
    </w:p>
    <w:p w:rsidR="00B6160F" w:rsidRDefault="00A321C6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Aguardar a prolação de uma decisão de Embargos à execução, sujeita a recurso, para, só após o seu trânsito em julgado, proce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der o bloqueio do valor devido, cujo montante já admitiu ser devedor, é postergar a expectativa do credor em face do devedor, que já goza do benefício da impenhorabilidade de seus bens e garantia da execução aplicável aos demais executados. </w:t>
      </w:r>
    </w:p>
    <w:p w:rsidR="00B6160F" w:rsidRDefault="00A321C6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 reconhecimen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to deste valor, autoriza, de logo, que seja procedido o bloqueio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via sistema Bacenjud, independentemente de requerimento da parte, mas por impulso oficial, como forma de dar maior rapidez e efetividade da prestação jurisdicional. Procedido o bloqueio do va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lor incontroverso, há que ser liberado em favor do credor, prosseguindo-se com a prolação da decisão de embargos à execução. É o que se propõe. </w:t>
      </w:r>
    </w:p>
    <w:p w:rsidR="00B6160F" w:rsidRDefault="00A321C6">
      <w:pPr>
        <w:spacing w:line="240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AUTORES: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JANAIR TOLENTINO ALVARES e VIVIANE MARIA LEITE DE FARIA </w:t>
      </w: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RESPONSÁVEL PELA DEFESA: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VIVIANE MARIA LEITE DE FARIA</w:t>
      </w:r>
    </w:p>
    <w:p w:rsidR="00B6160F" w:rsidRDefault="00A321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ENDEREÇOS ELETRÔNICOS:</w:t>
      </w:r>
    </w:p>
    <w:p w:rsidR="00B6160F" w:rsidRDefault="00A321C6">
      <w:pPr>
        <w:spacing w:line="240" w:lineRule="exact"/>
        <w:jc w:val="both"/>
      </w:pPr>
      <w:hyperlink r:id="rId4">
        <w:r>
          <w:rPr>
            <w:rStyle w:val="LinkdaInternet"/>
            <w:rFonts w:ascii="Times New Roman" w:eastAsia="Times New Roman" w:hAnsi="Times New Roman" w:cs="Times New Roman"/>
            <w:color w:val="0563C1"/>
            <w:sz w:val="24"/>
          </w:rPr>
          <w:t>janairtolentino@uol.com.br</w:t>
        </w:r>
      </w:hyperlink>
    </w:p>
    <w:p w:rsidR="00B6160F" w:rsidRDefault="00A321C6">
      <w:pPr>
        <w:spacing w:after="160" w:line="240" w:lineRule="exact"/>
        <w:jc w:val="both"/>
        <w:rPr>
          <w:rFonts w:ascii="Times New Roman" w:eastAsia="Times New Roman" w:hAnsi="Times New Roman" w:cs="Times New Roman"/>
          <w:color w:val="4472C4"/>
          <w:sz w:val="24"/>
          <w:u w:val="single"/>
        </w:rPr>
      </w:pPr>
      <w:r>
        <w:rPr>
          <w:rFonts w:ascii="Times New Roman" w:eastAsia="Times New Roman" w:hAnsi="Times New Roman" w:cs="Times New Roman"/>
          <w:color w:val="4472C4"/>
          <w:sz w:val="24"/>
          <w:u w:val="single"/>
        </w:rPr>
        <w:t>vm.faria@uol.com.br</w:t>
      </w:r>
    </w:p>
    <w:p w:rsidR="00B6160F" w:rsidRDefault="00B6160F">
      <w:pPr>
        <w:spacing w:after="16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B6160F" w:rsidRDefault="00B6160F">
      <w:pPr>
        <w:spacing w:before="300" w:after="300" w:line="240" w:lineRule="exact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B6160F" w:rsidRDefault="00B6160F">
      <w:pPr>
        <w:spacing w:after="160" w:line="240" w:lineRule="exact"/>
        <w:jc w:val="both"/>
      </w:pPr>
    </w:p>
    <w:sectPr w:rsidR="00B6160F">
      <w:pgSz w:w="11906" w:h="16838"/>
      <w:pgMar w:top="1417" w:right="1417" w:bottom="1417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0F"/>
    <w:rsid w:val="00A321C6"/>
    <w:rsid w:val="00B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64D98-DC90-4220-8989-87E4E003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Lucida Sans"/>
        <w:kern w:val="2"/>
        <w:sz w:val="2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irtolentino@uo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Leite</dc:creator>
  <dc:description/>
  <cp:lastModifiedBy>Viviane Leite</cp:lastModifiedBy>
  <cp:revision>2</cp:revision>
  <dcterms:created xsi:type="dcterms:W3CDTF">2018-04-04T13:05:00Z</dcterms:created>
  <dcterms:modified xsi:type="dcterms:W3CDTF">2018-04-04T13:05:00Z</dcterms:modified>
  <dc:language>pt-BR</dc:language>
</cp:coreProperties>
</file>