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1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Resolução 219 do CNJ – aplicabilidade plena na Justiça do Trabalho – prevalência sobre a Resolução 63 do CSJT</w:t>
      </w:r>
    </w:p>
    <w:p>
      <w:pPr>
        <w:pStyle w:val="Normal"/>
        <w:spacing w:beforeAutospacing="1" w:after="12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Comissão: 1</w:t>
      </w:r>
    </w:p>
    <w:p>
      <w:pPr>
        <w:pStyle w:val="Normal"/>
        <w:widowControl/>
        <w:suppressAutoHyphens w:val="true"/>
        <w:bidi w:val="0"/>
        <w:spacing w:lineRule="auto" w:line="240" w:beforeAutospacing="1" w:afterAutospacing="1"/>
        <w:ind w:left="0" w:right="0" w:hanging="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A Resolução 219 do CNJ é plenamente aplicável na Justiça do Trabalho e se sobrepõe sobre a Resolução 63 do CSJT sempre que houver conflito entre as disposições dos seus textos.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>É fato notório que o Poder Judiciário brasileiro tem o enorme desafio de atender à demanda da sociedade e dos milhões de processos que tramitam em seus diversos órgãos, sendo inegável a frustração d</w:t>
      </w:r>
      <w:r>
        <w:rPr>
          <w:rFonts w:cs="Arial" w:ascii="Times New Roman" w:hAnsi="Times New Roman"/>
          <w:i/>
          <w:iCs/>
          <w:sz w:val="24"/>
          <w:szCs w:val="24"/>
        </w:rPr>
        <w:t>aqueles</w:t>
      </w:r>
      <w:r>
        <w:rPr>
          <w:rFonts w:cs="Arial" w:ascii="Times New Roman" w:hAnsi="Times New Roman"/>
          <w:i/>
          <w:iCs/>
          <w:sz w:val="24"/>
          <w:szCs w:val="24"/>
        </w:rPr>
        <w:t xml:space="preserve"> que, conquanto tenham tido o reconhecimento do seu direito em juízo, não obtiveram a efetiva tutela do Estado na reparação da lesão da qual foram vítimas.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 xml:space="preserve">Isso decorre, primordialmente, da falta de estrutura, aparelhamento e capacitação do Poder Judiciário com os recursos materiais e humanos necessários ao desiderato que lhe cabe </w:t>
      </w:r>
      <w:r>
        <w:rPr>
          <w:rFonts w:cs="Arial" w:ascii="Times New Roman" w:hAnsi="Times New Roman"/>
          <w:i/>
          <w:iCs/>
          <w:sz w:val="24"/>
          <w:szCs w:val="24"/>
        </w:rPr>
        <w:t xml:space="preserve">por definição constitucional, </w:t>
      </w:r>
      <w:r>
        <w:rPr>
          <w:rFonts w:cs="Arial" w:ascii="Times New Roman" w:hAnsi="Times New Roman"/>
          <w:i/>
          <w:iCs/>
          <w:sz w:val="24"/>
          <w:szCs w:val="24"/>
        </w:rPr>
        <w:t>sendo gritante, outrossim, o desnivelamento observado, em relação a tais parâmetros, entre os diversos ramos d</w:t>
      </w:r>
      <w:r>
        <w:rPr>
          <w:rFonts w:cs="Arial" w:ascii="Times New Roman" w:hAnsi="Times New Roman"/>
          <w:i/>
          <w:iCs/>
          <w:sz w:val="24"/>
          <w:szCs w:val="24"/>
        </w:rPr>
        <w:t>esse</w:t>
      </w:r>
      <w:r>
        <w:rPr>
          <w:rFonts w:cs="Arial" w:ascii="Times New Roman" w:hAnsi="Times New Roman"/>
          <w:i/>
          <w:iCs/>
          <w:sz w:val="24"/>
          <w:szCs w:val="24"/>
        </w:rPr>
        <w:t xml:space="preserve"> Poder e entre os seus diversos órgãos judiciais ou tribunais.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 xml:space="preserve">Levando tais circunstâncias em consideração, e também os princípios constitucionais da razoável duração do processo e da eficiência da administração pública, consubstanciados nos arts. 5º, LXXVIII, e 37, </w:t>
      </w:r>
      <w:r>
        <w:rPr>
          <w:rFonts w:cs="Arial" w:ascii="Times New Roman" w:hAnsi="Times New Roman"/>
          <w:i w:val="false"/>
          <w:iCs w:val="false"/>
          <w:sz w:val="24"/>
          <w:szCs w:val="24"/>
        </w:rPr>
        <w:t>caput, respectivamente, da Constituição Federal, o Conselho Nacional de Justiça – CNJ aprovou, em 26 de abril de 2016, a Resolução 219</w:t>
      </w:r>
      <w:r>
        <w:rPr>
          <w:rFonts w:cs="Arial" w:ascii="Times New Roman" w:hAnsi="Times New Roman"/>
          <w:i/>
          <w:iCs/>
          <w:sz w:val="24"/>
          <w:szCs w:val="24"/>
        </w:rPr>
        <w:t xml:space="preserve"> que “Dispõe sobre a distribuição de servidores, de cargos em comissão e de funções de confiança nos órgãos do Poder Judiciário de primeiro e segundo</w:t>
        <w:br/>
        <w:t>graus e dá outras providências”.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>Cumpre lembrar que, a teor do art. 103-B, § 4º, da Carta Magna, compete ao CNJ “o controle da atuação administrativa e financeira do Poder Judiciário”, de modo que o ato normativo em referência apenas materializa a política administrativa pensada para a melhor prestação da jurisdição com a máxima eficiência no d</w:t>
      </w:r>
      <w:r>
        <w:rPr>
          <w:rFonts w:cs="Arial" w:ascii="Times New Roman" w:hAnsi="Times New Roman"/>
          <w:i/>
          <w:iCs/>
          <w:sz w:val="24"/>
          <w:szCs w:val="24"/>
        </w:rPr>
        <w:t>i</w:t>
      </w:r>
      <w:r>
        <w:rPr>
          <w:rFonts w:cs="Arial" w:ascii="Times New Roman" w:hAnsi="Times New Roman"/>
          <w:i/>
          <w:iCs/>
          <w:sz w:val="24"/>
          <w:szCs w:val="24"/>
        </w:rPr>
        <w:t>spêndio dos recursos públicos.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>Vale ressaltar ainda que a sua vigência decorre de diretriz estratégica aprovada no VII Encontro Nacional do Poder Judiciário, que contou com a participação de Presidentes e Corregedores dos tribunais brasileiros, no sentido de “aperfeiçoar os serviços judiciários de primeira instância e equalizar os recursos orçamentários, patrimoniais, de tecnologia da informação e de pessoal entre primeiro e segundo graus, a orientar programas, projetos e ações dos planos estratégicos dos tribunais”.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Também a Meta 3, aprovada em referido Encontro, determina a aplicação de parâmetros objetivos na distribuição da força de trabalho de acordo com a movimentação processual.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Observa-se, portanto, a preocupação do CNJ com a racional distribuição da força de trabalho nos diversos órgãos do Poder Judiciário brasileiro, sempre com o escopo de otimizar a atividade jurisdicional de qualidade, eficiência e celeridade.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Inegável, por tantas razões, a sua plena aplicabilidade na Justiça do Trabalho, sendo certo que também esta apresenta distorções na distribuição da força de trabalho entre o 1º e o 2º Graus, a exigir a implementação dessa política.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A confirmar tal raciocínio está a redação do seu art. 1º, que alude a “órgãos do Poder Judiciário de primeiro e segundo graus”, não fazendo qualquer menção de exceção.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>De mais a mais, o § 2º, do art. 5º da Resolução 219, é eloquente ao conferir poderes ao Conselho Superior da Justiça do Trabalho – CSJT para definir os agrupamentos entre os seus órgãos, de acordo com critérios de semelhança afetos à competência, material, base territorial, entrância ou outros, numa inequívoca demonstração de que aquele regramento se aplica à Justiça do Trabalho.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Mas não basta fixar a premissa da aplicabilidade da Resolução 219 do CNJ na Justiça do Trabalho, notadamente porque ela parece mesmo inquestionável.</w:t>
      </w:r>
    </w:p>
    <w:p>
      <w:pPr>
        <w:pStyle w:val="NormalWeb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 xml:space="preserve">É oportuno deixar claro que o seu texto se sobrepõe ao da Resolução 63 do CSJT, inclusive porque aprovada depois desta, </w:t>
      </w:r>
      <w:r>
        <w:rPr>
          <w:rFonts w:cs="Arial" w:ascii="Times New Roman" w:hAnsi="Times New Roman"/>
          <w:i/>
          <w:iCs/>
          <w:sz w:val="24"/>
          <w:szCs w:val="24"/>
        </w:rPr>
        <w:t>porquanto</w:t>
      </w:r>
      <w:r>
        <w:rPr>
          <w:rFonts w:cs="Arial" w:ascii="Times New Roman" w:hAnsi="Times New Roman"/>
          <w:i/>
          <w:iCs/>
          <w:sz w:val="24"/>
          <w:szCs w:val="24"/>
        </w:rPr>
        <w:t xml:space="preserve"> a sua lógica atende a critérios racionais e objetivos vinculados à quantidade de processos em tramitação nas duas instâncias de um tribunal, sem se olvidar da mutabilidade desses dados, consoante se infere do seu art. 3º.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A sensibilidade do seu texto ainda se revela na observância a outros fatores objetivos, a exemplo do IPS – Índice de Produtividade de Servidores (art. 2º, VI) e do Taxa de Congestionamento (art. 2º, XIII).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Diferentemente, a Resolução 63 do CSJT contêm parâmetros mais rígidos e imutáveis, não se amoldando às constantes mudanças na realidade fática vivenciada pelos órgãos do Poder Judiciário ao longo do tempo.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A Resolução 63, outrossim, foi editada ao tempo em que não vigia, em nível de CNJ - órgão de planejamento, supervisão e controle de todo o Poder Judiciário brasileiro -, qualquer norma regulamentadora do assunto nela regulado.</w:t>
      </w:r>
    </w:p>
    <w:p>
      <w:pPr>
        <w:pStyle w:val="NormalWe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 xml:space="preserve">Sobrevindo esta, qual seja, a Resolução 219, parece-nos, salvo melhor juízo, incontestável a sua supremacia, inclusive porque a observância aos seus termos, pela Justiça do Trabalho, atenderá aos reclamos da sociedade quanto à padronização das estruturas dos órgãos estatais incumbidos da prestação jurisdicional em aspectos primordiais como os recursos humanos e materiais. </w:t>
      </w:r>
    </w:p>
    <w:p>
      <w:pPr>
        <w:pStyle w:val="NormalWeb"/>
        <w:spacing w:before="280" w:after="280"/>
        <w:ind w:firstLine="708"/>
        <w:jc w:val="both"/>
        <w:rPr/>
      </w:pPr>
      <w:r>
        <w:rPr>
          <w:rFonts w:cs="Arial" w:ascii="Times New Roman" w:hAnsi="Times New Roman"/>
          <w:i/>
          <w:iCs/>
          <w:sz w:val="24"/>
          <w:szCs w:val="24"/>
        </w:rPr>
        <w:t>Cumprindo tal desiderato, estará a Justiça brasileira dando passos à eliminação de inadmissíveis e profundas diferenças entre os tribunais.</w:t>
      </w:r>
    </w:p>
    <w:sectPr>
      <w:type w:val="nextPage"/>
      <w:pgSz w:w="11906" w:h="16838"/>
      <w:pgMar w:left="1701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86e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86e6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LibreOffice/4.4.3.2$Windows_x86 LibreOffice_project/88805f81e9fe61362df02b9941de8e38a9b5fd16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2018-03-28T17:03:00Z</dcterms:created>
  <dc:creator>convenios</dc:creator>
  <dc:language>pt-BR</dc:language>
  <cp:lastPrinted>2018-04-10T08:06:33Z</cp:lastPrinted>
  <dcterms:modified xsi:type="dcterms:W3CDTF">2018-04-10T08:16:57Z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