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lang w:val="it-IT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Autora Valdete Souto Severo</w:t>
      </w:r>
    </w:p>
    <w:p>
      <w:pPr>
        <w:pStyle w:val="Di default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lang w:val="it-IT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pt-PT"/>
        </w:rPr>
        <w:t xml:space="preserve">Defensora da tese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Valdete Souto Severo</w:t>
      </w:r>
    </w:p>
    <w:p>
      <w:pPr>
        <w:pStyle w:val="Di default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lang w:val="it-IT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pt-PT"/>
        </w:rPr>
        <w:t>email valdete.severo@gmail.com</w:t>
      </w:r>
    </w:p>
    <w:p>
      <w:pPr>
        <w:pStyle w:val="Di default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lang w:val="it-IT"/>
        </w:rPr>
      </w:pPr>
    </w:p>
    <w:p>
      <w:pPr>
        <w:pStyle w:val="Di default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lang w:val="it-IT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 xml:space="preserve">EMENTA: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pt-PT"/>
        </w:rPr>
        <w:t>A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 xml:space="preserve"> libera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çã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o de dinheiro em execu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çã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o provis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ó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ria: os artigos 520 e 521 do CPC, s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ã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o aplic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veis ao processo do trabalho, e indispens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 xml:space="preserve">veis para o enfrentamento da chamada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reforma" trabalhista.</w:t>
      </w:r>
    </w:p>
    <w:p>
      <w:pPr>
        <w:pStyle w:val="Di default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lang w:val="it-IT"/>
        </w:rPr>
      </w:pPr>
    </w:p>
    <w:p>
      <w:pPr>
        <w:pStyle w:val="Di default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lang w:val="it-IT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Fundamenta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çã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o: A Lei 13.467/17 traz para o processo do trabalho o incidente de desconsidera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çã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o da personalidade jur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í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dica, diz que a execu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çã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o deve ser provocada pela parte e altera o art. 899 para permitir que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 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o valor do dep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ó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sito recursal seja reduzido pela metade para entidades sem fins lucrativos, empregadores dom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é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sticos, microempreendedores individuais, microempresas e empresas de pequeno porte (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 xml:space="preserve">§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9o), isentar sua exig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ê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ncia para os benefici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rios da justi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ç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a gratuita, as entidades filantr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ó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picas e as empresas em recupera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çã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o judicial (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 xml:space="preserve">§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10) e autorizar sua substitui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çã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o por fian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ç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a banc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ria ou seguro garantia judicial (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 xml:space="preserve">§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11). Com isso, pretende desconfigurar o processo do trabalho, destituindo-lhe de sentido, especialmente se atentarmos para as suas raz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õ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es de exist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ê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ncia, expressadas no Decreto que institui a Justi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ç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a do Trabalho. Pois bem, o CPC refere a possibilidade de tutela de urg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ê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 xml:space="preserve">ncia, independentemente de requerimento da parte, regra que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 xml:space="preserve">é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compat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í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vel com a norma geral do art. 765 da CLT, cuja reda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çã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 xml:space="preserve">o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 xml:space="preserve">é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mantida. O CPC fixa tamb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é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m a possibilidade de libera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çã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o de dinheiro em execu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çã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o provis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ó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ria. Trata-se de autoriza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çã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o legal expressa que j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 xml:space="preserve">á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estava contida na reda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çã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o final do CPC de 1973, em raz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ã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o de altera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çã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 xml:space="preserve">o promovida em 2005, que introduziu o artigo 475-0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à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quele diploma legal. Em sua atual reda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çã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o, o dispositivo assim determina o cumprimento provis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ó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rio da senten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ç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a impugnada por recurso desprovido de efeito suspensivo da mesma forma que o cumprimento definitivo (Art. 520), autorizando "o levantamento de dep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ó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sito em dinheiro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 xml:space="preserve">”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(IV), inclusive sem qualquer garantia (Art. 521). A previs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ã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o contida no CPC 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ã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o encontra correspond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ê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ncia na CLT, complementando, portanto, o quanto preceitua o art. 899 desse diploma legal, na linha do art. 15 do CPC. 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ã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o podemos esquecer que para a racionalidade que inspira a exist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ê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ncia de um processo do trabalho, a realiza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çã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 xml:space="preserve">o do direito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 xml:space="preserve">é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parte integrante da demanda. E parece certo que h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 xml:space="preserve">á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urg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ê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ncia em satisfazer cr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é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dito do qual depende a sobreviv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ê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ncia f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í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sica e ps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í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 xml:space="preserve">quica do trabalhador e de seus familiares. Essa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 xml:space="preserve">é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a raz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ã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o pela qual hoje justifica-se a utiliza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çã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o subsidi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 xml:space="preserve">ria do CPC, no que tange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regra que autoriza a libera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çã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o de dinheiro em execu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çã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o provis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ó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ria. A raz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ã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o de ser dos artigos 769 e 889 da CLT encontra-se justamente a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í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: permitir a integra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çã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 xml:space="preserve">o da norma estranha ao processo do trabalho sempre e somente quando contribuir para a efetividade dos direitos sociais fundamentais trabalhistas. </w:t>
      </w:r>
    </w:p>
    <w:p>
      <w:pPr>
        <w:pStyle w:val="Corpo"/>
      </w:pPr>
      <w:r>
        <w:rPr>
          <w:sz w:val="24"/>
          <w:szCs w:val="24"/>
          <w:lang w:val="it-IT"/>
        </w:rPr>
      </w:r>
    </w:p>
    <w:sectPr>
      <w:headerReference w:type="default" r:id="rId4"/>
      <w:footerReference w:type="default" r:id="rId5"/>
      <w:pgSz w:w="11900" w:h="16840" w:orient="portrait"/>
      <w:pgMar w:top="1417" w:right="1701" w:bottom="1417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çalho e Rodapé">
    <w:name w:val="Cabeçalho e Rodapé"/>
    <w:next w:val="Cabeçalho e Rodapé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pt-PT"/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