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CB5B5A" w:rsidRPr="006D3FBE" w:rsidTr="00FA52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81280" w:rsidRDefault="000B4C84" w:rsidP="0098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TESE</w:t>
            </w:r>
            <w:r w:rsidR="00CB5B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: </w:t>
            </w:r>
          </w:p>
          <w:p w:rsidR="00DE16F7" w:rsidRDefault="00DE16F7" w:rsidP="0098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</w:p>
          <w:p w:rsidR="00DE16F7" w:rsidRDefault="00DE16F7" w:rsidP="0098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Os juízes do Trabalho devem cumprir e fazer cumprir a Constituição e as leis, o que i</w:t>
            </w:r>
            <w:r w:rsidR="002A4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nclui necessariamente o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controle difuso de constitucionalidade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e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de conven</w:t>
            </w:r>
            <w:r w:rsidR="002A4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cionalidade das leis, bem como 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o uso de todos os métodos de interpretação disponíveis.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Nessa medida:</w:t>
            </w:r>
            <w:r w:rsidR="00464F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(a) </w:t>
            </w:r>
            <w:r w:rsidR="00464F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s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erá inconstitucional qualquer norma que colime </w:t>
            </w:r>
            <w:r w:rsidR="002A4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afastar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o conteúdo dos acordos e convenções coletivas de trabalho da apreciação da Justiça do Trabalho, inclusive quanto à sua constitucionalidade, convencionalidade. </w:t>
            </w:r>
            <w:proofErr w:type="gramStart"/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legalidade</w:t>
            </w:r>
            <w:proofErr w:type="gramEnd"/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e conformidade com a ordem pública social;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(b) </w:t>
            </w:r>
            <w:r w:rsidR="00464F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s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erá autoritária e antirrepublicana toda ação política, midiática, administrativa ou correicional que pretender imputar ao juiz </w:t>
            </w:r>
            <w:r w:rsidR="002A4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do Trabalho</w:t>
            </w:r>
            <w:r w:rsidRPr="00DE16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o “dever” de interpretar a Lei n. 13.467/2017 de modo exclusivamente literal/gramatical.</w:t>
            </w:r>
          </w:p>
          <w:p w:rsidR="00981280" w:rsidRDefault="00981280" w:rsidP="0098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</w:pPr>
          </w:p>
          <w:p w:rsidR="00CB5B5A" w:rsidRPr="006D3FBE" w:rsidRDefault="00CB5B5A" w:rsidP="00DE1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B5B5A" w:rsidRDefault="001C3726" w:rsidP="00CB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B5B5A" w:rsidRDefault="00CB5B5A" w:rsidP="00CB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B5A" w:rsidRDefault="00CB5B5A" w:rsidP="00CB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B5A" w:rsidRPr="008B4913" w:rsidRDefault="00CB5B5A" w:rsidP="00CB5B5A">
      <w:pPr>
        <w:spacing w:after="0" w:line="240" w:lineRule="auto"/>
        <w:jc w:val="center"/>
        <w:rPr>
          <w:rFonts w:ascii="Bell MT" w:eastAsia="Times New Roman" w:hAnsi="Bell MT" w:cs="Times New Roman"/>
          <w:b/>
          <w:sz w:val="24"/>
          <w:szCs w:val="24"/>
          <w:u w:val="single"/>
          <w:lang w:eastAsia="pt-BR"/>
        </w:rPr>
      </w:pPr>
      <w:r w:rsidRPr="008B4913">
        <w:rPr>
          <w:rFonts w:ascii="Bell MT" w:eastAsia="Times New Roman" w:hAnsi="Bell MT" w:cs="Times New Roman"/>
          <w:b/>
          <w:sz w:val="24"/>
          <w:szCs w:val="24"/>
          <w:u w:val="single"/>
          <w:lang w:eastAsia="pt-BR"/>
        </w:rPr>
        <w:t>FUNDAMENTAÇÃO</w:t>
      </w:r>
    </w:p>
    <w:p w:rsidR="00CB5B5A" w:rsidRPr="008B4913" w:rsidRDefault="00CB5B5A" w:rsidP="00CB5B5A">
      <w:pPr>
        <w:spacing w:after="0" w:line="240" w:lineRule="auto"/>
        <w:jc w:val="center"/>
        <w:rPr>
          <w:rFonts w:ascii="Bell MT" w:eastAsia="Times New Roman" w:hAnsi="Bell MT" w:cs="Times New Roman"/>
          <w:b/>
          <w:sz w:val="24"/>
          <w:szCs w:val="24"/>
          <w:u w:val="single"/>
          <w:lang w:eastAsia="pt-BR"/>
        </w:rPr>
      </w:pPr>
    </w:p>
    <w:p w:rsidR="00E76910" w:rsidRPr="00E76910" w:rsidRDefault="00CB5B5A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  <w:r w:rsidRPr="00E76910">
        <w:rPr>
          <w:rFonts w:ascii="Bell MT" w:eastAsia="Times New Roman" w:hAnsi="Bell MT" w:cs="Times New Roman"/>
          <w:sz w:val="24"/>
          <w:szCs w:val="24"/>
        </w:rPr>
        <w:tab/>
      </w:r>
      <w:r w:rsidR="00E76910" w:rsidRPr="00E76910">
        <w:rPr>
          <w:rFonts w:ascii="Bell MT" w:hAnsi="Bell MT" w:cs="Times New Roman"/>
          <w:color w:val="auto"/>
          <w:sz w:val="24"/>
          <w:szCs w:val="24"/>
        </w:rPr>
        <w:t xml:space="preserve">A garantia da independência judicial, como se sabe, não existe para o juiz, mas para o cidadão. As Nações Unidas assim a reconhecem, como textualmente se lê, p.ex., no artigo 19 da Declaração Universal dos Direitos Humanos, ou no artigo 14, 1, do Pacto Internacional dos Direitos Civis e Políticos. Mas é também o que restou consagrado entre os </w:t>
      </w:r>
      <w:r w:rsidR="00E76910" w:rsidRPr="00E76910">
        <w:rPr>
          <w:rFonts w:ascii="Bell MT" w:hAnsi="Bell MT" w:cs="Times New Roman"/>
          <w:i/>
          <w:color w:val="auto"/>
          <w:sz w:val="24"/>
          <w:szCs w:val="24"/>
        </w:rPr>
        <w:t xml:space="preserve">Princípios Básicos das Nações Unidas relativos à independência da Magistratura </w:t>
      </w:r>
      <w:r w:rsidR="00E76910" w:rsidRPr="00E76910">
        <w:rPr>
          <w:rFonts w:ascii="Bell MT" w:hAnsi="Bell MT" w:cs="Times New Roman"/>
          <w:color w:val="auto"/>
          <w:sz w:val="24"/>
          <w:szCs w:val="24"/>
        </w:rPr>
        <w:t>(ratificados pela Assembleia Geral da ONU em sua Resolução n. 40/1932, de 29.11.1985):</w:t>
      </w: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</w:p>
    <w:p w:rsidR="00E76910" w:rsidRPr="00E76910" w:rsidRDefault="00E76910" w:rsidP="00D160B8">
      <w:pPr>
        <w:spacing w:after="0" w:line="240" w:lineRule="auto"/>
        <w:ind w:left="2124" w:firstLine="708"/>
        <w:jc w:val="both"/>
        <w:rPr>
          <w:rFonts w:ascii="Bell MT" w:hAnsi="Bell MT"/>
          <w:b/>
          <w:sz w:val="20"/>
          <w:szCs w:val="20"/>
          <w:lang w:val="es-AR"/>
        </w:rPr>
      </w:pPr>
      <w:r w:rsidRPr="00E76910">
        <w:rPr>
          <w:rFonts w:ascii="Bell MT" w:hAnsi="Bell MT"/>
          <w:b/>
          <w:sz w:val="20"/>
          <w:szCs w:val="20"/>
          <w:lang w:val="es-AR"/>
        </w:rPr>
        <w:t xml:space="preserve">Independencia de la judicatura </w:t>
      </w:r>
    </w:p>
    <w:p w:rsidR="00E76910" w:rsidRPr="00E76910" w:rsidRDefault="00E76910" w:rsidP="00E76910">
      <w:pPr>
        <w:spacing w:after="0" w:line="240" w:lineRule="auto"/>
        <w:ind w:left="2880" w:firstLine="567"/>
        <w:jc w:val="both"/>
        <w:rPr>
          <w:rFonts w:ascii="Bell MT" w:hAnsi="Bell MT"/>
          <w:b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  <w:lang w:val="es-AR"/>
        </w:rPr>
      </w:pPr>
      <w:r w:rsidRPr="00E76910">
        <w:rPr>
          <w:rFonts w:ascii="Bell MT" w:hAnsi="Bell MT"/>
          <w:sz w:val="20"/>
          <w:szCs w:val="20"/>
          <w:lang w:val="es-AR"/>
        </w:rPr>
        <w:t xml:space="preserve">1. La independencia de la judicatura será garantizada por el Estado y proclamada por la Constitución o la legislación del país. Todas las instituciones gubernamentales y de otra índole respetarán y acatarán la independencia de la judicatura. </w:t>
      </w:r>
    </w:p>
    <w:p w:rsidR="00D160B8" w:rsidRDefault="00D160B8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  <w:lang w:val="es-AR"/>
        </w:rPr>
      </w:pPr>
      <w:r w:rsidRPr="00E76910">
        <w:rPr>
          <w:rFonts w:ascii="Bell MT" w:hAnsi="Bell MT"/>
          <w:sz w:val="20"/>
          <w:szCs w:val="20"/>
          <w:lang w:val="es-AR"/>
        </w:rPr>
        <w:t xml:space="preserve">2. Los jueces resolverán los asuntos que conozcan con imparcialidad, basándose en los hechos y en consonancia con el derecho, </w:t>
      </w:r>
      <w:r w:rsidRPr="00E76910">
        <w:rPr>
          <w:rFonts w:ascii="Bell MT" w:hAnsi="Bell MT"/>
          <w:b/>
          <w:sz w:val="20"/>
          <w:szCs w:val="20"/>
          <w:lang w:val="es-AR"/>
        </w:rPr>
        <w:t>sin restricción alguna y sin influencias, alicientes, presiones, amenazas o intromisiones indebidas, sean directas o indirectas, de cualesquiera sectores o por cualquier motivo.</w:t>
      </w:r>
      <w:r w:rsidRPr="00E76910">
        <w:rPr>
          <w:rFonts w:ascii="Bell MT" w:hAnsi="Bell MT"/>
          <w:sz w:val="20"/>
          <w:szCs w:val="20"/>
          <w:lang w:val="es-AR"/>
        </w:rPr>
        <w:t xml:space="preserve">  […]</w:t>
      </w:r>
    </w:p>
    <w:p w:rsidR="00D160B8" w:rsidRDefault="00D160B8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</w:rPr>
      </w:pPr>
      <w:r w:rsidRPr="00E76910">
        <w:rPr>
          <w:rFonts w:ascii="Bell MT" w:hAnsi="Bell MT"/>
          <w:sz w:val="20"/>
          <w:szCs w:val="20"/>
          <w:lang w:val="es-AR"/>
        </w:rPr>
        <w:t xml:space="preserve">8. En consonancia con la Declaración Universal de Derechos Humanos  y al igual que los demás ciudadanos, </w:t>
      </w:r>
      <w:r w:rsidRPr="00E76910">
        <w:rPr>
          <w:rFonts w:ascii="Bell MT" w:hAnsi="Bell MT"/>
          <w:b/>
          <w:sz w:val="20"/>
          <w:szCs w:val="20"/>
          <w:lang w:val="es-AR"/>
        </w:rPr>
        <w:t>los miembros de la judicatura gozarán de las libertades de expresión, creencias</w:t>
      </w:r>
      <w:r w:rsidRPr="00E76910">
        <w:rPr>
          <w:rFonts w:ascii="Bell MT" w:hAnsi="Bell MT"/>
          <w:sz w:val="20"/>
          <w:szCs w:val="20"/>
          <w:lang w:val="es-AR"/>
        </w:rPr>
        <w:t xml:space="preserve">, asociación y reunión, con la salvedad de que, en el ejercicio de esos derechos, los jueces se conducirán en todo momento de manera que preserve la dignidad de sus funciones y la imparcialidad e independencia de la judicatura.  </w:t>
      </w:r>
      <w:r w:rsidRPr="00E76910">
        <w:rPr>
          <w:rFonts w:ascii="Bell MT" w:hAnsi="Bell MT"/>
          <w:sz w:val="20"/>
          <w:szCs w:val="20"/>
        </w:rPr>
        <w:t>(</w:t>
      </w:r>
      <w:r w:rsidRPr="00E76910">
        <w:rPr>
          <w:rFonts w:ascii="Bell MT" w:hAnsi="Bell MT"/>
          <w:i/>
          <w:sz w:val="20"/>
          <w:szCs w:val="20"/>
        </w:rPr>
        <w:t>g.n.</w:t>
      </w:r>
      <w:r w:rsidRPr="00E76910">
        <w:rPr>
          <w:rFonts w:ascii="Bell MT" w:hAnsi="Bell MT"/>
          <w:sz w:val="20"/>
          <w:szCs w:val="20"/>
        </w:rPr>
        <w:t>)</w:t>
      </w:r>
    </w:p>
    <w:p w:rsidR="00E76910" w:rsidRPr="00E76910" w:rsidRDefault="00E76910" w:rsidP="00E76910">
      <w:pPr>
        <w:spacing w:after="0" w:line="240" w:lineRule="auto"/>
        <w:ind w:firstLine="567"/>
        <w:rPr>
          <w:rFonts w:ascii="Bell MT" w:hAnsi="Bell MT"/>
          <w:sz w:val="20"/>
          <w:szCs w:val="20"/>
        </w:rPr>
      </w:pP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  <w:lang w:val="pt-BR"/>
        </w:rPr>
      </w:pP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  <w:r w:rsidRPr="00E76910">
        <w:rPr>
          <w:rFonts w:ascii="Bell MT" w:hAnsi="Bell MT" w:cs="Times New Roman"/>
          <w:color w:val="auto"/>
          <w:sz w:val="24"/>
          <w:szCs w:val="24"/>
        </w:rPr>
        <w:t xml:space="preserve">É, igualmente, o que consubstancia o </w:t>
      </w:r>
      <w:r w:rsidRPr="00E76910">
        <w:rPr>
          <w:rFonts w:ascii="Bell MT" w:hAnsi="Bell MT" w:cs="Times New Roman"/>
          <w:i/>
          <w:color w:val="auto"/>
          <w:sz w:val="24"/>
          <w:szCs w:val="24"/>
        </w:rPr>
        <w:t xml:space="preserve">Valor n. 1 </w:t>
      </w:r>
      <w:r w:rsidRPr="00E76910">
        <w:rPr>
          <w:rFonts w:ascii="Bell MT" w:hAnsi="Bell MT" w:cs="Times New Roman"/>
          <w:color w:val="auto"/>
          <w:sz w:val="24"/>
          <w:szCs w:val="24"/>
        </w:rPr>
        <w:t xml:space="preserve">da conhecida </w:t>
      </w:r>
      <w:r w:rsidRPr="00E76910">
        <w:rPr>
          <w:rFonts w:ascii="Bell MT" w:hAnsi="Bell MT" w:cs="Times New Roman"/>
          <w:i/>
          <w:color w:val="auto"/>
          <w:sz w:val="24"/>
          <w:szCs w:val="24"/>
        </w:rPr>
        <w:t xml:space="preserve">Carta de Princípios de Bangalore, </w:t>
      </w:r>
      <w:r w:rsidRPr="00E76910">
        <w:rPr>
          <w:rFonts w:ascii="Bell MT" w:hAnsi="Bell MT" w:cs="Times New Roman"/>
          <w:color w:val="auto"/>
          <w:sz w:val="24"/>
          <w:szCs w:val="24"/>
        </w:rPr>
        <w:t>de 2002:</w:t>
      </w: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</w:p>
    <w:p w:rsidR="00E76910" w:rsidRPr="00E76910" w:rsidRDefault="00E76910" w:rsidP="00D160B8">
      <w:pPr>
        <w:spacing w:after="0" w:line="240" w:lineRule="auto"/>
        <w:ind w:left="2124" w:firstLine="708"/>
        <w:jc w:val="both"/>
        <w:rPr>
          <w:rFonts w:ascii="Bell MT" w:hAnsi="Bell MT"/>
          <w:b/>
          <w:sz w:val="20"/>
          <w:szCs w:val="20"/>
          <w:lang w:val="es-AR"/>
        </w:rPr>
      </w:pPr>
      <w:r w:rsidRPr="00E76910">
        <w:rPr>
          <w:rFonts w:ascii="Bell MT" w:hAnsi="Bell MT"/>
          <w:b/>
          <w:sz w:val="20"/>
          <w:szCs w:val="20"/>
          <w:lang w:val="es-AR"/>
        </w:rPr>
        <w:t xml:space="preserve">Independencia </w:t>
      </w:r>
    </w:p>
    <w:p w:rsidR="00E76910" w:rsidRPr="00E76910" w:rsidRDefault="00E76910" w:rsidP="00E76910">
      <w:pPr>
        <w:spacing w:after="0" w:line="240" w:lineRule="auto"/>
        <w:ind w:left="2880" w:firstLine="567"/>
        <w:jc w:val="both"/>
        <w:rPr>
          <w:rFonts w:ascii="Bell MT" w:hAnsi="Bell MT"/>
          <w:b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124" w:firstLine="708"/>
        <w:jc w:val="both"/>
        <w:rPr>
          <w:rFonts w:ascii="Bell MT" w:hAnsi="Bell MT"/>
          <w:b/>
          <w:sz w:val="20"/>
          <w:szCs w:val="20"/>
          <w:lang w:val="es-AR"/>
        </w:rPr>
      </w:pPr>
      <w:r w:rsidRPr="00E76910">
        <w:rPr>
          <w:rFonts w:ascii="Bell MT" w:hAnsi="Bell MT"/>
          <w:b/>
          <w:sz w:val="20"/>
          <w:szCs w:val="20"/>
          <w:lang w:val="es-AR"/>
        </w:rPr>
        <w:t xml:space="preserve">Principio </w:t>
      </w:r>
    </w:p>
    <w:p w:rsidR="00E76910" w:rsidRPr="00E76910" w:rsidRDefault="00E76910" w:rsidP="00E76910">
      <w:pPr>
        <w:spacing w:after="0" w:line="240" w:lineRule="auto"/>
        <w:ind w:left="2880" w:firstLine="567"/>
        <w:jc w:val="both"/>
        <w:rPr>
          <w:rFonts w:ascii="Bell MT" w:hAnsi="Bell MT"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  <w:lang w:val="es-AR"/>
        </w:rPr>
      </w:pPr>
      <w:r w:rsidRPr="00E76910">
        <w:rPr>
          <w:rFonts w:ascii="Bell MT" w:hAnsi="Bell MT"/>
          <w:sz w:val="20"/>
          <w:szCs w:val="20"/>
          <w:lang w:val="es-AR"/>
        </w:rPr>
        <w:t xml:space="preserve">La independencia judicial es un requisito previo del  principio de legalidad y una garantía fundamental de la existencia de un juicio justo. En consecuencia, un juez deberá defender y ejemplificar la independencia judicial tanto en sus aspectos individuales como institucionales. </w:t>
      </w:r>
    </w:p>
    <w:p w:rsidR="00E76910" w:rsidRPr="00E76910" w:rsidRDefault="00E76910" w:rsidP="00E76910">
      <w:pPr>
        <w:spacing w:after="0" w:line="240" w:lineRule="auto"/>
        <w:ind w:left="2880" w:firstLine="567"/>
        <w:jc w:val="both"/>
        <w:rPr>
          <w:rFonts w:ascii="Bell MT" w:hAnsi="Bell MT"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124" w:firstLine="708"/>
        <w:jc w:val="both"/>
        <w:rPr>
          <w:rFonts w:ascii="Bell MT" w:hAnsi="Bell MT"/>
          <w:b/>
          <w:sz w:val="20"/>
          <w:szCs w:val="20"/>
          <w:lang w:val="es-AR"/>
        </w:rPr>
      </w:pPr>
      <w:r w:rsidRPr="00E76910">
        <w:rPr>
          <w:rFonts w:ascii="Bell MT" w:hAnsi="Bell MT"/>
          <w:b/>
          <w:sz w:val="20"/>
          <w:szCs w:val="20"/>
          <w:lang w:val="es-AR"/>
        </w:rPr>
        <w:t xml:space="preserve">Aplicación </w:t>
      </w:r>
    </w:p>
    <w:p w:rsidR="00E76910" w:rsidRPr="00E76910" w:rsidRDefault="00E76910" w:rsidP="00E76910">
      <w:pPr>
        <w:spacing w:after="0" w:line="240" w:lineRule="auto"/>
        <w:ind w:left="2880" w:firstLine="567"/>
        <w:jc w:val="both"/>
        <w:rPr>
          <w:rFonts w:ascii="Bell MT" w:hAnsi="Bell MT"/>
          <w:sz w:val="20"/>
          <w:szCs w:val="20"/>
          <w:lang w:val="es-AR"/>
        </w:rPr>
      </w:pPr>
    </w:p>
    <w:p w:rsidR="00E76910" w:rsidRPr="00E76910" w:rsidRDefault="00E76910" w:rsidP="00D160B8">
      <w:pPr>
        <w:spacing w:after="0" w:line="240" w:lineRule="auto"/>
        <w:ind w:left="2880"/>
        <w:jc w:val="both"/>
        <w:rPr>
          <w:rFonts w:ascii="Bell MT" w:hAnsi="Bell MT"/>
          <w:sz w:val="20"/>
          <w:szCs w:val="20"/>
          <w:lang w:val="es-AR"/>
        </w:rPr>
      </w:pPr>
      <w:r w:rsidRPr="00E76910">
        <w:rPr>
          <w:rFonts w:ascii="Bell MT" w:hAnsi="Bell MT"/>
          <w:sz w:val="20"/>
          <w:szCs w:val="20"/>
          <w:lang w:val="es-AR"/>
        </w:rPr>
        <w:t xml:space="preserve">1.1 Un juez deberá ejercer su función judicial de forma independiente, </w:t>
      </w:r>
      <w:r w:rsidRPr="00E76910">
        <w:rPr>
          <w:rFonts w:ascii="Bell MT" w:hAnsi="Bell MT"/>
          <w:b/>
          <w:sz w:val="20"/>
          <w:szCs w:val="20"/>
          <w:lang w:val="es-AR"/>
        </w:rPr>
        <w:t xml:space="preserve">partiendo de su valoración de los hechos y en virtud de una comprensión consciente de la ley, </w:t>
      </w:r>
      <w:r w:rsidRPr="00E76910">
        <w:rPr>
          <w:rFonts w:ascii="Bell MT" w:hAnsi="Bell MT"/>
          <w:sz w:val="20"/>
          <w:szCs w:val="20"/>
          <w:lang w:val="es-AR"/>
        </w:rPr>
        <w:t>libre de cualquier influencia ajena, de instigaciones, presiones, amenazas o interferencias, sean directas o indirectas, provenientes de cualquier fuente o por cualquier razón.  […] (</w:t>
      </w:r>
      <w:r w:rsidRPr="00E76910">
        <w:rPr>
          <w:rFonts w:ascii="Bell MT" w:hAnsi="Bell MT"/>
          <w:i/>
          <w:sz w:val="20"/>
          <w:szCs w:val="20"/>
          <w:lang w:val="es-AR"/>
        </w:rPr>
        <w:t>g.n.</w:t>
      </w:r>
      <w:r w:rsidRPr="00E76910">
        <w:rPr>
          <w:rFonts w:ascii="Bell MT" w:hAnsi="Bell MT"/>
          <w:sz w:val="20"/>
          <w:szCs w:val="20"/>
          <w:lang w:val="es-AR"/>
        </w:rPr>
        <w:t>)</w:t>
      </w:r>
    </w:p>
    <w:p w:rsidR="00E76910" w:rsidRPr="00E76910" w:rsidRDefault="00E76910" w:rsidP="00E76910">
      <w:pPr>
        <w:spacing w:after="0" w:line="240" w:lineRule="auto"/>
        <w:ind w:firstLine="567"/>
        <w:rPr>
          <w:rFonts w:ascii="Bell MT" w:hAnsi="Bell MT"/>
          <w:lang w:val="es-AR"/>
        </w:rPr>
      </w:pP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  <w:lang w:val="es-AR"/>
        </w:rPr>
      </w:pP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  <w:lang w:val="es-AR"/>
        </w:rPr>
      </w:pPr>
      <w:r w:rsidRPr="00E76910">
        <w:rPr>
          <w:rFonts w:ascii="Bell MT" w:hAnsi="Bell MT" w:cs="Times New Roman"/>
          <w:color w:val="auto"/>
          <w:sz w:val="24"/>
          <w:szCs w:val="24"/>
          <w:lang w:val="es-AR"/>
        </w:rPr>
        <w:t xml:space="preserve">E é, com efeito, de aquisição universal que </w:t>
      </w:r>
    </w:p>
    <w:p w:rsidR="00E76910" w:rsidRPr="00E76910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  <w:lang w:val="es-AR"/>
        </w:rPr>
      </w:pPr>
    </w:p>
    <w:p w:rsidR="00E76910" w:rsidRPr="00E76910" w:rsidRDefault="00E76910" w:rsidP="00D160B8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Bell MT" w:hAnsi="Bell MT"/>
          <w:sz w:val="20"/>
          <w:szCs w:val="20"/>
        </w:rPr>
      </w:pPr>
      <w:r w:rsidRPr="00E76910">
        <w:rPr>
          <w:rFonts w:ascii="Bell MT" w:hAnsi="Bell MT"/>
          <w:sz w:val="20"/>
          <w:szCs w:val="20"/>
          <w:lang w:val="es-AR"/>
        </w:rPr>
        <w:t xml:space="preserve">“Any mention of judicial independence must eventually prompt the question: independent of what? </w:t>
      </w:r>
      <w:r w:rsidRPr="00E76910">
        <w:rPr>
          <w:rFonts w:ascii="Bell MT" w:hAnsi="Bell MT"/>
          <w:sz w:val="20"/>
          <w:szCs w:val="20"/>
        </w:rPr>
        <w:t xml:space="preserve">The most obvious answer is, of course, independent of government. I find it impossible to think of any way in which judges, in their decision-making role, should not be independent of government. But they should also be independent of the legislature, save in its law-making capacity. </w:t>
      </w:r>
      <w:r w:rsidRPr="00E76910">
        <w:rPr>
          <w:rFonts w:ascii="Bell MT" w:hAnsi="Bell MT"/>
          <w:b/>
          <w:sz w:val="20"/>
          <w:szCs w:val="20"/>
        </w:rPr>
        <w:t>Judges should not defer to expressions of parliamentary opinion, or decide cases with a view to either earning parliamentary approbation or avoiding parliamentary censure</w:t>
      </w:r>
      <w:r w:rsidRPr="00E76910">
        <w:rPr>
          <w:rFonts w:ascii="Bell MT" w:hAnsi="Bell MT"/>
          <w:sz w:val="20"/>
          <w:szCs w:val="20"/>
        </w:rPr>
        <w:t>. They must also, plainly, ensure that their impartiality is not undermined by any other association, whether professional, commercial, personal or whatever.”</w:t>
      </w:r>
      <w:r w:rsidRPr="00E76910">
        <w:rPr>
          <w:rStyle w:val="Refdenotaderodap"/>
          <w:rFonts w:ascii="Bell MT" w:hAnsi="Bell MT"/>
          <w:sz w:val="20"/>
          <w:szCs w:val="20"/>
        </w:rPr>
        <w:footnoteReference w:id="1"/>
      </w:r>
    </w:p>
    <w:p w:rsidR="00E76910" w:rsidRPr="00E76910" w:rsidRDefault="00E76910" w:rsidP="00E76910">
      <w:pPr>
        <w:spacing w:after="0" w:line="240" w:lineRule="auto"/>
        <w:ind w:left="1440" w:firstLine="567"/>
        <w:jc w:val="both"/>
        <w:rPr>
          <w:rFonts w:ascii="Bell MT" w:hAnsi="Bell MT"/>
          <w:sz w:val="20"/>
          <w:szCs w:val="20"/>
        </w:rPr>
      </w:pP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  <w:lang w:val="en-US"/>
        </w:rPr>
      </w:pP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  <w:r w:rsidRPr="00D160B8">
        <w:rPr>
          <w:rFonts w:ascii="Bell MT" w:hAnsi="Bell MT" w:cs="Times New Roman"/>
          <w:color w:val="auto"/>
          <w:sz w:val="24"/>
          <w:szCs w:val="24"/>
        </w:rPr>
        <w:t xml:space="preserve">Logo, um juiz não pode ser censurado pelo conteúdo do seu convencimento técnico-jurídico ou acadêmico-científico — por mais inusual ou “pernóstico” que seja </w:t>
      </w:r>
      <w:r w:rsidRPr="00D160B8">
        <w:rPr>
          <w:rFonts w:ascii="Times New Roman" w:hAnsi="Times New Roman" w:cs="Times New Roman"/>
          <w:color w:val="auto"/>
          <w:sz w:val="24"/>
          <w:szCs w:val="24"/>
        </w:rPr>
        <w:t>−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, desde que o fundamente razoavelmente, i.e.,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>dentro das balizas objetivas que compõem o sistema jurídico em que está inserido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. Isto não é “desobediência civil”. É hermenêutica.  Daí porque, para decidir questões-de-direito ou questões-de-fato, o juiz tem de ser necessariamente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livre. 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E nem poderia ser diferente. Sendo humano, o juiz jamais será um autômato dos textos. Isto não é possível. </w:t>
      </w: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  <w:lang w:val="pt-BR"/>
        </w:rPr>
      </w:pP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  <w:r w:rsidRPr="00D160B8">
        <w:rPr>
          <w:rFonts w:ascii="Bell MT" w:hAnsi="Bell MT" w:cs="Times New Roman"/>
          <w:color w:val="auto"/>
          <w:sz w:val="24"/>
          <w:szCs w:val="24"/>
        </w:rPr>
        <w:t xml:space="preserve">A argumentação jurídica não pode fugir absolutamente dos referenciais simbólicos do sistema. Mesmo porque, dissemos alhures – em abordagem luhmaniana </w:t>
      </w:r>
      <w:r w:rsidRPr="00D160B8">
        <w:rPr>
          <w:rFonts w:ascii="Times New Roman" w:hAnsi="Times New Roman" w:cs="Times New Roman"/>
          <w:color w:val="auto"/>
          <w:sz w:val="24"/>
          <w:szCs w:val="24"/>
        </w:rPr>
        <w:t>−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, todo (sub)sistema é necessariamente um acontecimento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>antientrópico</w:t>
      </w:r>
      <w:r w:rsidRPr="00D160B8">
        <w:rPr>
          <w:rStyle w:val="Refdenotaderodap"/>
          <w:rFonts w:ascii="Bell MT" w:hAnsi="Bell MT" w:cs="Times New Roman"/>
          <w:i/>
          <w:color w:val="auto"/>
          <w:sz w:val="24"/>
          <w:szCs w:val="24"/>
        </w:rPr>
        <w:footnoteReference w:id="2"/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.  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Produz-se a si mesmo sob uma perspectiva de ordem, não de sépsis. Daí a necessidade de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internalização coerente 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das intelecções hermenêuticas (o que tem a ver com a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integridade </w:t>
      </w:r>
      <w:r w:rsidRPr="00D160B8">
        <w:rPr>
          <w:rFonts w:ascii="Bell MT" w:hAnsi="Bell MT" w:cs="Times New Roman"/>
          <w:color w:val="auto"/>
          <w:sz w:val="24"/>
          <w:szCs w:val="24"/>
        </w:rPr>
        <w:lastRenderedPageBreak/>
        <w:t xml:space="preserve">dworkiniana). Atendido e demonstrando esse pressuposto, todavia, a argumentação é indelevelmente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livre. 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Ou não haveria autonomia judiciária. </w:t>
      </w: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  <w:r w:rsidRPr="00D160B8">
        <w:rPr>
          <w:rFonts w:ascii="Bell MT" w:hAnsi="Bell MT" w:cs="Times New Roman"/>
          <w:color w:val="auto"/>
          <w:sz w:val="24"/>
          <w:szCs w:val="24"/>
        </w:rPr>
        <w:t xml:space="preserve">Discutir o livre convencimento motivado é, pois, discutir os limites da Hermenêutica. </w:t>
      </w:r>
    </w:p>
    <w:p w:rsidR="00E76910" w:rsidRPr="00D160B8" w:rsidRDefault="00E76910" w:rsidP="00E76910">
      <w:pPr>
        <w:pStyle w:val="Padro"/>
        <w:ind w:firstLine="567"/>
        <w:jc w:val="both"/>
        <w:rPr>
          <w:rFonts w:ascii="Bell MT" w:hAnsi="Bell MT" w:cs="Times New Roman"/>
          <w:color w:val="auto"/>
          <w:sz w:val="24"/>
          <w:szCs w:val="24"/>
        </w:rPr>
      </w:pPr>
    </w:p>
    <w:p w:rsidR="00E76910" w:rsidRPr="00D160B8" w:rsidRDefault="00E76910" w:rsidP="00E76910">
      <w:pPr>
        <w:pStyle w:val="Padro"/>
        <w:ind w:firstLine="567"/>
        <w:jc w:val="both"/>
        <w:rPr>
          <w:rFonts w:ascii="Bell MT" w:eastAsia="Times New Roman" w:hAnsi="Bell MT" w:cs="Times New Roman"/>
          <w:i/>
          <w:color w:val="auto"/>
          <w:sz w:val="24"/>
          <w:szCs w:val="24"/>
        </w:rPr>
      </w:pPr>
      <w:r w:rsidRPr="00D160B8">
        <w:rPr>
          <w:rFonts w:ascii="Bell MT" w:hAnsi="Bell MT" w:cs="Times New Roman"/>
          <w:color w:val="auto"/>
          <w:sz w:val="24"/>
          <w:szCs w:val="24"/>
        </w:rPr>
        <w:t>Ocorre que nenhuma interpretação jurídica pode ser “verdadeira” ou “falsa” (= atitude objetivante), como nos ensina Jürgen Habermas (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>“O que é a Pragmática Universal?”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, 1976); tais atributos são próprios do mundo da natureza externa. Pertencendo ao mundo do dever-ser </w:t>
      </w:r>
      <w:r w:rsidRPr="00D160B8">
        <w:rPr>
          <w:rFonts w:ascii="Times New Roman" w:hAnsi="Times New Roman" w:cs="Times New Roman"/>
          <w:color w:val="auto"/>
          <w:sz w:val="24"/>
          <w:szCs w:val="24"/>
        </w:rPr>
        <w:t>−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 ou, dirá Habermas, no “nosso” mundo de sociedade </w:t>
      </w:r>
      <w:r w:rsidRPr="00D160B8">
        <w:rPr>
          <w:rFonts w:ascii="Times New Roman" w:hAnsi="Times New Roman" w:cs="Times New Roman"/>
          <w:color w:val="auto"/>
          <w:sz w:val="24"/>
          <w:szCs w:val="24"/>
        </w:rPr>
        <w:t>−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, uma interpretação jurídica apenas pode ser “certa” ou “errada” (= atitude conformativa), cabendo ao Poder Judiciário, intérprete último das fontes formais do Direito, dizer se determinada compreensão tem ou não “correção” no marco do sistema jurídico. Dirão, portanto,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>os tribunais.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 E, para dizê-lo – mesmo que na perspectiva dworkiniana da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única resposta certa </w:t>
      </w:r>
      <w:r w:rsidRPr="00D160B8">
        <w:rPr>
          <w:rFonts w:ascii="Times New Roman" w:hAnsi="Times New Roman" w:cs="Times New Roman"/>
          <w:i/>
          <w:color w:val="auto"/>
          <w:sz w:val="24"/>
          <w:szCs w:val="24"/>
        </w:rPr>
        <w:t>−</w:t>
      </w:r>
      <w:r w:rsidRPr="00D160B8">
        <w:rPr>
          <w:rFonts w:ascii="Bell MT" w:hAnsi="Bell MT" w:cs="Times New Roman"/>
          <w:color w:val="auto"/>
          <w:sz w:val="24"/>
          <w:szCs w:val="24"/>
        </w:rPr>
        <w:t xml:space="preserve">, não prescindirão de sua </w:t>
      </w:r>
      <w:r w:rsidRPr="00D160B8">
        <w:rPr>
          <w:rFonts w:ascii="Bell MT" w:hAnsi="Bell MT" w:cs="Times New Roman"/>
          <w:i/>
          <w:color w:val="auto"/>
          <w:sz w:val="24"/>
          <w:szCs w:val="24"/>
        </w:rPr>
        <w:t xml:space="preserve">liberdade. </w:t>
      </w:r>
    </w:p>
    <w:p w:rsidR="00E76910" w:rsidRPr="00D160B8" w:rsidRDefault="00E76910" w:rsidP="00E76910">
      <w:pPr>
        <w:pStyle w:val="Padro"/>
        <w:ind w:firstLine="567"/>
        <w:jc w:val="both"/>
        <w:rPr>
          <w:rFonts w:ascii="Bell MT" w:eastAsia="Times New Roman" w:hAnsi="Bell MT" w:cs="Times New Roman"/>
          <w:color w:val="auto"/>
          <w:sz w:val="24"/>
          <w:szCs w:val="24"/>
        </w:rPr>
      </w:pPr>
    </w:p>
    <w:p w:rsidR="00E76910" w:rsidRPr="00D160B8" w:rsidRDefault="00E76910" w:rsidP="00E76910">
      <w:pPr>
        <w:spacing w:after="0" w:line="240" w:lineRule="auto"/>
        <w:ind w:firstLine="567"/>
        <w:jc w:val="both"/>
        <w:rPr>
          <w:rFonts w:ascii="Bell MT" w:hAnsi="Bell MT"/>
          <w:sz w:val="24"/>
          <w:szCs w:val="24"/>
        </w:rPr>
      </w:pPr>
      <w:r w:rsidRPr="00D160B8">
        <w:rPr>
          <w:rFonts w:ascii="Bell MT" w:hAnsi="Bell MT"/>
          <w:sz w:val="24"/>
          <w:szCs w:val="24"/>
        </w:rPr>
        <w:t xml:space="preserve">Observe-se, de outro turno, que aquilo que distingue a atividade legislativa da atividade judicante não é a “criatividade” substancial daquela primeira – eis, a propósito, o falso fundamento de quem quer negar aos tribunais qualquer função criativa </w:t>
      </w:r>
      <w:r w:rsidRPr="00D160B8">
        <w:rPr>
          <w:rFonts w:ascii="Times New Roman" w:hAnsi="Times New Roman" w:cs="Times New Roman"/>
          <w:sz w:val="24"/>
          <w:szCs w:val="24"/>
        </w:rPr>
        <w:t>−</w:t>
      </w:r>
      <w:r w:rsidRPr="00D160B8">
        <w:rPr>
          <w:rFonts w:ascii="Bell MT" w:hAnsi="Bell MT"/>
          <w:sz w:val="24"/>
          <w:szCs w:val="24"/>
        </w:rPr>
        <w:t xml:space="preserve">, mas o </w:t>
      </w:r>
      <w:r w:rsidRPr="00D160B8">
        <w:rPr>
          <w:rFonts w:ascii="Bell MT" w:hAnsi="Bell MT"/>
          <w:i/>
          <w:sz w:val="24"/>
          <w:szCs w:val="24"/>
        </w:rPr>
        <w:t xml:space="preserve">modo </w:t>
      </w:r>
      <w:r w:rsidRPr="00D160B8">
        <w:rPr>
          <w:rFonts w:ascii="Bell MT" w:hAnsi="Bell MT"/>
          <w:sz w:val="24"/>
          <w:szCs w:val="24"/>
        </w:rPr>
        <w:t>como ela é engendrada</w:t>
      </w:r>
      <w:r w:rsidRPr="00D160B8">
        <w:rPr>
          <w:rStyle w:val="Refdenotaderodap"/>
          <w:rFonts w:ascii="Bell MT" w:hAnsi="Bell MT"/>
          <w:sz w:val="24"/>
          <w:szCs w:val="24"/>
        </w:rPr>
        <w:footnoteReference w:id="3"/>
      </w:r>
      <w:r w:rsidRPr="00D160B8">
        <w:rPr>
          <w:rFonts w:ascii="Bell MT" w:hAnsi="Bell MT"/>
          <w:sz w:val="24"/>
          <w:szCs w:val="24"/>
        </w:rPr>
        <w:t xml:space="preserve">. Os parlamentos legislam a partir de </w:t>
      </w:r>
      <w:r w:rsidRPr="00D160B8">
        <w:rPr>
          <w:rFonts w:ascii="Bell MT" w:hAnsi="Bell MT"/>
          <w:i/>
          <w:sz w:val="24"/>
          <w:szCs w:val="24"/>
        </w:rPr>
        <w:t xml:space="preserve">inputs </w:t>
      </w:r>
      <w:r w:rsidRPr="00D160B8">
        <w:rPr>
          <w:rFonts w:ascii="Bell MT" w:hAnsi="Bell MT"/>
          <w:sz w:val="24"/>
          <w:szCs w:val="24"/>
        </w:rPr>
        <w:t xml:space="preserve">de diversas naturezas (políticos, sociais, econômicos), tendencialmente difusos e abstratos. Juízes, ao revés, desenvolvem o </w:t>
      </w:r>
      <w:r w:rsidRPr="00D160B8">
        <w:rPr>
          <w:rFonts w:ascii="Bell MT" w:hAnsi="Bell MT"/>
          <w:i/>
          <w:sz w:val="24"/>
          <w:szCs w:val="24"/>
        </w:rPr>
        <w:t xml:space="preserve">“judicial law-making” </w:t>
      </w:r>
      <w:r w:rsidRPr="00D160B8">
        <w:rPr>
          <w:rFonts w:ascii="Bell MT" w:hAnsi="Bell MT"/>
          <w:sz w:val="24"/>
          <w:szCs w:val="24"/>
        </w:rPr>
        <w:t xml:space="preserve">a partir de </w:t>
      </w:r>
      <w:r w:rsidRPr="00D160B8">
        <w:rPr>
          <w:rFonts w:ascii="Bell MT" w:hAnsi="Bell MT"/>
          <w:i/>
          <w:sz w:val="24"/>
          <w:szCs w:val="24"/>
        </w:rPr>
        <w:t>focos concretos</w:t>
      </w:r>
      <w:r w:rsidRPr="00D160B8">
        <w:rPr>
          <w:rFonts w:ascii="Bell MT" w:hAnsi="Bell MT"/>
          <w:sz w:val="24"/>
          <w:szCs w:val="24"/>
        </w:rPr>
        <w:t xml:space="preserve"> (modelo de </w:t>
      </w:r>
      <w:r w:rsidRPr="00D160B8">
        <w:rPr>
          <w:rFonts w:ascii="Bell MT" w:hAnsi="Bell MT"/>
          <w:i/>
          <w:sz w:val="24"/>
          <w:szCs w:val="24"/>
        </w:rPr>
        <w:t>“cases and controversies”</w:t>
      </w:r>
      <w:r w:rsidRPr="00D160B8">
        <w:rPr>
          <w:rFonts w:ascii="Bell MT" w:hAnsi="Bell MT"/>
          <w:sz w:val="24"/>
          <w:szCs w:val="24"/>
        </w:rPr>
        <w:t xml:space="preserve">) e em </w:t>
      </w:r>
      <w:r w:rsidRPr="00D160B8">
        <w:rPr>
          <w:rFonts w:ascii="Bell MT" w:hAnsi="Bell MT"/>
          <w:i/>
          <w:sz w:val="24"/>
          <w:szCs w:val="24"/>
        </w:rPr>
        <w:t>“regime de soberania vinculada”</w:t>
      </w:r>
      <w:r w:rsidRPr="00D160B8">
        <w:rPr>
          <w:rFonts w:ascii="Bell MT" w:hAnsi="Bell MT"/>
          <w:sz w:val="24"/>
          <w:szCs w:val="24"/>
        </w:rPr>
        <w:t xml:space="preserve"> (Carnelutti). </w:t>
      </w:r>
    </w:p>
    <w:p w:rsidR="00E76910" w:rsidRPr="00D160B8" w:rsidRDefault="00E76910" w:rsidP="00E76910">
      <w:pPr>
        <w:spacing w:after="0" w:line="240" w:lineRule="auto"/>
        <w:ind w:firstLine="567"/>
        <w:jc w:val="both"/>
        <w:rPr>
          <w:rFonts w:ascii="Bell MT" w:hAnsi="Bell MT"/>
          <w:sz w:val="24"/>
          <w:szCs w:val="24"/>
        </w:rPr>
      </w:pPr>
    </w:p>
    <w:p w:rsidR="00E76910" w:rsidRPr="00D160B8" w:rsidRDefault="00E76910" w:rsidP="00E76910">
      <w:pPr>
        <w:spacing w:after="0" w:line="240" w:lineRule="auto"/>
        <w:ind w:firstLine="567"/>
        <w:jc w:val="both"/>
        <w:rPr>
          <w:rFonts w:ascii="Bell MT" w:hAnsi="Bell MT"/>
          <w:i/>
          <w:sz w:val="24"/>
          <w:szCs w:val="24"/>
        </w:rPr>
      </w:pPr>
      <w:r w:rsidRPr="00D160B8">
        <w:rPr>
          <w:rFonts w:ascii="Bell MT" w:hAnsi="Bell MT"/>
          <w:sz w:val="24"/>
          <w:szCs w:val="24"/>
        </w:rPr>
        <w:t xml:space="preserve">A hipótese de um Poder Judiciário “não-criativo”, com um corpo de magistrados que apenas repita os textos de lei e adapte a vontade histórica do legislador – ou a vontade histórica dos próprios tribunais </w:t>
      </w:r>
      <w:r w:rsidRPr="00D160B8">
        <w:rPr>
          <w:rFonts w:ascii="Times New Roman" w:hAnsi="Times New Roman" w:cs="Times New Roman"/>
          <w:sz w:val="24"/>
          <w:szCs w:val="24"/>
        </w:rPr>
        <w:t>−</w:t>
      </w:r>
      <w:r w:rsidRPr="00D160B8">
        <w:rPr>
          <w:rFonts w:ascii="Bell MT" w:hAnsi="Bell MT"/>
          <w:sz w:val="24"/>
          <w:szCs w:val="24"/>
        </w:rPr>
        <w:t xml:space="preserve"> aos casos concretos, em modo de (quase) pura subsunção formal, não atende aos pressupostos políticos do Estado Democrático de Direito. Sob tais pressupostos, a Magistratura torna-se incapaz de refletir a diversidade e a pluralidade do pensamento jurídico. E é menos apta a preservar as minorias contra os ímpetos das maiorias políticas, que ditam os textos de lei. É que tampouco a “lei” é um fenômeno empiricamente abstrato ou neutro. E, diga-se claramente, </w:t>
      </w:r>
      <w:r w:rsidR="00337B50" w:rsidRPr="00D160B8">
        <w:rPr>
          <w:rFonts w:ascii="Bell MT" w:hAnsi="Bell MT"/>
          <w:sz w:val="24"/>
          <w:szCs w:val="24"/>
        </w:rPr>
        <w:t>tal</w:t>
      </w:r>
      <w:r w:rsidRPr="00D160B8">
        <w:rPr>
          <w:rFonts w:ascii="Bell MT" w:hAnsi="Bell MT"/>
          <w:sz w:val="24"/>
          <w:szCs w:val="24"/>
        </w:rPr>
        <w:t xml:space="preserve"> entendimento — se promana originalmente da ciência política — não é sequer algo para “iniciados”. A grande mídia já o diz. Assim é que </w:t>
      </w:r>
      <w:r w:rsidRPr="00D160B8">
        <w:rPr>
          <w:rFonts w:ascii="Bell MT" w:hAnsi="Bell MT"/>
          <w:i/>
          <w:sz w:val="24"/>
          <w:szCs w:val="24"/>
        </w:rPr>
        <w:t>“</w:t>
      </w:r>
      <w:r w:rsidRPr="00D160B8">
        <w:rPr>
          <w:rFonts w:ascii="Bell MT" w:hAnsi="Bell MT"/>
          <w:sz w:val="24"/>
          <w:szCs w:val="24"/>
        </w:rPr>
        <w:t xml:space="preserve">[o] </w:t>
      </w:r>
      <w:r w:rsidRPr="00D160B8">
        <w:rPr>
          <w:rFonts w:ascii="Bell MT" w:hAnsi="Bell MT"/>
          <w:i/>
          <w:sz w:val="24"/>
          <w:szCs w:val="24"/>
        </w:rPr>
        <w:t>Estado, nos seus vários níveis, não é neutro. Ele sofre pressão de grupos extremamente fortes que atuam dentro das burocracias estatais, nas secretarias, nas assembleias”</w:t>
      </w:r>
      <w:r w:rsidRPr="00D160B8">
        <w:rPr>
          <w:rStyle w:val="Refdenotaderodap"/>
          <w:rFonts w:ascii="Bell MT" w:hAnsi="Bell MT"/>
          <w:i/>
          <w:sz w:val="24"/>
          <w:szCs w:val="24"/>
        </w:rPr>
        <w:footnoteReference w:id="4"/>
      </w:r>
      <w:r w:rsidRPr="00D160B8">
        <w:rPr>
          <w:rFonts w:ascii="Bell MT" w:hAnsi="Bell MT"/>
          <w:sz w:val="24"/>
          <w:szCs w:val="24"/>
        </w:rPr>
        <w:t xml:space="preserve">. E daí se poder afirmar, inclusive entre leigos, que </w:t>
      </w:r>
      <w:r w:rsidRPr="00D160B8">
        <w:rPr>
          <w:rFonts w:ascii="Bell MT" w:hAnsi="Bell MT"/>
          <w:i/>
          <w:sz w:val="24"/>
          <w:szCs w:val="24"/>
        </w:rPr>
        <w:t>“</w:t>
      </w:r>
      <w:r w:rsidRPr="00D160B8">
        <w:rPr>
          <w:rFonts w:ascii="Bell MT" w:hAnsi="Bell MT"/>
          <w:sz w:val="24"/>
          <w:szCs w:val="24"/>
        </w:rPr>
        <w:t>[u]</w:t>
      </w:r>
      <w:r w:rsidRPr="00D160B8">
        <w:rPr>
          <w:rFonts w:ascii="Bell MT" w:hAnsi="Bell MT"/>
          <w:i/>
          <w:sz w:val="24"/>
          <w:szCs w:val="24"/>
        </w:rPr>
        <w:t>ma boa receita para produzir o pior dos mundos é aplicar com máximo zelo todas as leis vigentes”</w:t>
      </w:r>
      <w:r w:rsidRPr="00D160B8">
        <w:rPr>
          <w:rStyle w:val="Refdenotaderodap"/>
          <w:rFonts w:ascii="Bell MT" w:hAnsi="Bell MT"/>
          <w:i/>
          <w:sz w:val="24"/>
          <w:szCs w:val="24"/>
        </w:rPr>
        <w:footnoteReference w:id="5"/>
      </w:r>
      <w:r w:rsidRPr="00D160B8">
        <w:rPr>
          <w:rFonts w:ascii="Bell MT" w:hAnsi="Bell MT"/>
          <w:sz w:val="24"/>
          <w:szCs w:val="24"/>
        </w:rPr>
        <w:t xml:space="preserve">. </w:t>
      </w:r>
    </w:p>
    <w:p w:rsidR="00E76910" w:rsidRPr="00D160B8" w:rsidRDefault="00E76910" w:rsidP="00E76910">
      <w:pPr>
        <w:spacing w:after="0" w:line="240" w:lineRule="auto"/>
        <w:ind w:firstLine="567"/>
        <w:jc w:val="both"/>
        <w:rPr>
          <w:rFonts w:ascii="Bell MT" w:hAnsi="Bell MT"/>
          <w:sz w:val="24"/>
          <w:szCs w:val="24"/>
        </w:rPr>
      </w:pPr>
    </w:p>
    <w:p w:rsidR="00E76910" w:rsidRPr="00D160B8" w:rsidRDefault="00E76910" w:rsidP="00E76910">
      <w:pPr>
        <w:spacing w:after="0" w:line="240" w:lineRule="auto"/>
        <w:ind w:firstLine="567"/>
        <w:jc w:val="both"/>
        <w:rPr>
          <w:rFonts w:ascii="Bell MT" w:hAnsi="Bell MT"/>
          <w:sz w:val="24"/>
          <w:szCs w:val="24"/>
        </w:rPr>
      </w:pPr>
      <w:r w:rsidRPr="00D160B8">
        <w:rPr>
          <w:rFonts w:ascii="Bell MT" w:hAnsi="Bell MT"/>
          <w:sz w:val="24"/>
          <w:szCs w:val="24"/>
        </w:rPr>
        <w:t xml:space="preserve">A rigor, reservar ao juiz o papel de mero enunciador da lei (ou de enunciador dos precedentes) é, na verdade, suprimir seu papel dinâmico no jogo dos </w:t>
      </w:r>
      <w:r w:rsidRPr="00D160B8">
        <w:rPr>
          <w:rFonts w:ascii="Bell MT" w:hAnsi="Bell MT"/>
          <w:i/>
          <w:sz w:val="24"/>
          <w:szCs w:val="24"/>
        </w:rPr>
        <w:t>“checks and balances”</w:t>
      </w:r>
      <w:r w:rsidRPr="00D160B8">
        <w:rPr>
          <w:rFonts w:ascii="Bell MT" w:hAnsi="Bell MT"/>
          <w:sz w:val="24"/>
          <w:szCs w:val="24"/>
        </w:rPr>
        <w:t xml:space="preserve">, vergastando um dos mais importantes mecanismos da forma republicana de governo. E, mais que isso, é manietar o próprio </w:t>
      </w:r>
      <w:r w:rsidRPr="00D160B8">
        <w:rPr>
          <w:rFonts w:ascii="Bell MT" w:hAnsi="Bell MT"/>
          <w:i/>
          <w:sz w:val="24"/>
          <w:szCs w:val="24"/>
        </w:rPr>
        <w:t>“procedural due process”</w:t>
      </w:r>
      <w:r w:rsidRPr="00D160B8">
        <w:rPr>
          <w:rFonts w:ascii="Bell MT" w:hAnsi="Bell MT"/>
          <w:sz w:val="24"/>
          <w:szCs w:val="24"/>
        </w:rPr>
        <w:t>, por combalir a independência judicial. Afinal,</w:t>
      </w:r>
    </w:p>
    <w:p w:rsidR="00D160B8" w:rsidRDefault="00D160B8" w:rsidP="00D160B8">
      <w:pPr>
        <w:spacing w:after="0" w:line="240" w:lineRule="auto"/>
        <w:ind w:left="4247"/>
        <w:jc w:val="both"/>
        <w:rPr>
          <w:rFonts w:ascii="Bell MT" w:hAnsi="Bell MT"/>
          <w:sz w:val="20"/>
          <w:szCs w:val="20"/>
        </w:rPr>
      </w:pPr>
    </w:p>
    <w:p w:rsidR="00E76910" w:rsidRPr="00E76910" w:rsidRDefault="00E76910" w:rsidP="00D160B8">
      <w:pPr>
        <w:spacing w:after="0" w:line="240" w:lineRule="auto"/>
        <w:ind w:left="4247"/>
        <w:jc w:val="both"/>
        <w:rPr>
          <w:rFonts w:ascii="Bell MT" w:hAnsi="Bell MT"/>
          <w:b/>
          <w:sz w:val="20"/>
          <w:szCs w:val="20"/>
        </w:rPr>
      </w:pPr>
      <w:r w:rsidRPr="00E76910">
        <w:rPr>
          <w:rFonts w:ascii="Bell MT" w:hAnsi="Bell MT"/>
          <w:sz w:val="20"/>
          <w:szCs w:val="20"/>
        </w:rPr>
        <w:t xml:space="preserve">a independência do juiz há de ser compatível com sua configuração humana como sujeito de </w:t>
      </w:r>
      <w:r w:rsidRPr="00E76910">
        <w:rPr>
          <w:rFonts w:ascii="Bell MT" w:hAnsi="Bell MT"/>
          <w:sz w:val="20"/>
          <w:szCs w:val="20"/>
        </w:rPr>
        <w:lastRenderedPageBreak/>
        <w:t xml:space="preserve">capacidade plena, de preocupações pela justiça que vão além de seu exercício profissional, e como titular de todos os direitos que a lei não lhe restrinja ou suprima em atenção a razoáveis medidas de incompatibilidade. Falamos, pois, de </w:t>
      </w:r>
      <w:r w:rsidRPr="00E76910">
        <w:rPr>
          <w:rFonts w:ascii="Bell MT" w:hAnsi="Bell MT"/>
          <w:b/>
          <w:sz w:val="20"/>
          <w:szCs w:val="20"/>
        </w:rPr>
        <w:t>um juiz não facilmente domesticável, não mudo, nem mais diminuído em seus direitos do que o indispensável</w:t>
      </w:r>
      <w:r w:rsidRPr="00E76910">
        <w:rPr>
          <w:rFonts w:ascii="Bell MT" w:hAnsi="Bell MT"/>
          <w:sz w:val="20"/>
          <w:szCs w:val="20"/>
        </w:rPr>
        <w:t>.</w:t>
      </w:r>
      <w:r w:rsidRPr="00E76910">
        <w:rPr>
          <w:rStyle w:val="Refdenotaderodap"/>
          <w:rFonts w:ascii="Bell MT" w:hAnsi="Bell MT"/>
          <w:sz w:val="20"/>
          <w:szCs w:val="20"/>
        </w:rPr>
        <w:footnoteReference w:id="6"/>
      </w:r>
      <w:r w:rsidRPr="00E76910">
        <w:rPr>
          <w:rFonts w:ascii="Bell MT" w:hAnsi="Bell MT"/>
          <w:b/>
          <w:sz w:val="20"/>
          <w:szCs w:val="20"/>
        </w:rPr>
        <w:tab/>
      </w:r>
    </w:p>
    <w:p w:rsidR="00E76910" w:rsidRPr="00E76910" w:rsidRDefault="00E76910" w:rsidP="00E76910">
      <w:pPr>
        <w:spacing w:after="0" w:line="240" w:lineRule="auto"/>
        <w:ind w:firstLine="567"/>
        <w:rPr>
          <w:rFonts w:ascii="Bell MT" w:hAnsi="Bell MT"/>
          <w:b/>
        </w:rPr>
      </w:pPr>
    </w:p>
    <w:p w:rsidR="00E76910" w:rsidRPr="00D160B8" w:rsidRDefault="00E76910" w:rsidP="00E76910">
      <w:pPr>
        <w:spacing w:after="0" w:line="240" w:lineRule="auto"/>
        <w:ind w:firstLine="567"/>
        <w:rPr>
          <w:rFonts w:ascii="Bell MT" w:hAnsi="Bell MT"/>
          <w:b/>
          <w:sz w:val="24"/>
          <w:szCs w:val="24"/>
        </w:rPr>
      </w:pPr>
    </w:p>
    <w:p w:rsidR="004A211F" w:rsidRPr="00D160B8" w:rsidRDefault="00E76910" w:rsidP="00E76910">
      <w:pPr>
        <w:spacing w:after="0" w:line="240" w:lineRule="auto"/>
        <w:ind w:firstLine="567"/>
        <w:jc w:val="both"/>
        <w:rPr>
          <w:rFonts w:ascii="Bell MT" w:hAnsi="Bell MT"/>
          <w:sz w:val="24"/>
          <w:szCs w:val="24"/>
        </w:rPr>
      </w:pPr>
      <w:r w:rsidRPr="00D160B8">
        <w:rPr>
          <w:rFonts w:ascii="Bell MT" w:hAnsi="Bell MT"/>
          <w:sz w:val="24"/>
          <w:szCs w:val="24"/>
        </w:rPr>
        <w:t xml:space="preserve">Juízes não são autômatos. Nem são “neutros” (embora devam ser necessariamente </w:t>
      </w:r>
      <w:r w:rsidRPr="00D160B8">
        <w:rPr>
          <w:rFonts w:ascii="Bell MT" w:hAnsi="Bell MT"/>
          <w:i/>
          <w:sz w:val="24"/>
          <w:szCs w:val="24"/>
        </w:rPr>
        <w:t>imparciais</w:t>
      </w:r>
      <w:r w:rsidRPr="00D160B8">
        <w:rPr>
          <w:rFonts w:ascii="Bell MT" w:hAnsi="Bell MT"/>
          <w:sz w:val="24"/>
          <w:szCs w:val="24"/>
        </w:rPr>
        <w:t xml:space="preserve"> — o que é outra coisa). Julgam sob as balizas do sistema jurídico-positivo, mas também manifestam percepções subjetivas do justo, cuja legitimidade se constrói (ou não) pelos referenciais teórico-sistêmicos do respectivo discurso.</w:t>
      </w:r>
    </w:p>
    <w:p w:rsidR="00E76910" w:rsidRPr="00E76910" w:rsidRDefault="00E76910" w:rsidP="00E76910">
      <w:pPr>
        <w:spacing w:after="0" w:line="240" w:lineRule="auto"/>
        <w:ind w:firstLine="567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542F36" w:rsidRDefault="004A211F" w:rsidP="00E76910">
      <w:pPr>
        <w:spacing w:after="0" w:line="240" w:lineRule="auto"/>
        <w:ind w:firstLine="567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 w:rsidRPr="00E76910">
        <w:rPr>
          <w:rFonts w:ascii="Bell MT" w:eastAsia="Times New Roman" w:hAnsi="Bell MT" w:cs="Times New Roman"/>
          <w:sz w:val="24"/>
          <w:szCs w:val="24"/>
          <w:lang w:eastAsia="pt-BR"/>
        </w:rPr>
        <w:t xml:space="preserve">Veem-se, </w:t>
      </w:r>
      <w:r w:rsidR="00542F36" w:rsidRPr="00E76910">
        <w:rPr>
          <w:rFonts w:ascii="Bell MT" w:eastAsia="Times New Roman" w:hAnsi="Bell MT" w:cs="Times New Roman"/>
          <w:sz w:val="24"/>
          <w:szCs w:val="24"/>
          <w:lang w:eastAsia="pt-BR"/>
        </w:rPr>
        <w:t>entretanto</w:t>
      </w:r>
      <w:r w:rsidRPr="00E76910">
        <w:rPr>
          <w:rFonts w:ascii="Bell MT" w:eastAsia="Times New Roman" w:hAnsi="Bell MT" w:cs="Times New Roman"/>
          <w:sz w:val="24"/>
          <w:szCs w:val="24"/>
          <w:lang w:eastAsia="pt-BR"/>
        </w:rPr>
        <w:t xml:space="preserve">, na mídia, nos tribunais e no próprio Parlamento,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>movimentações e esforços tendentes a condicionar os juízes do Trabalho, a partir de 11/11/2017, a interpretarem as novidades da</w:t>
      </w:r>
      <w:r w:rsidR="006708D2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Lei n. 13.467/2017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de modo exclusivamente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literal. </w:t>
      </w:r>
      <w:r w:rsidR="00542F36">
        <w:rPr>
          <w:rFonts w:ascii="Bell MT" w:eastAsia="Times New Roman" w:hAnsi="Bell MT" w:cs="Times New Roman"/>
          <w:sz w:val="24"/>
          <w:szCs w:val="24"/>
          <w:lang w:eastAsia="pt-BR"/>
        </w:rPr>
        <w:t xml:space="preserve">Não raro, as investidas chegam às raias de uma acintosa chantagem institucional, a ameaçar, velada ou explicitamente, a própria existência da Justiça do Trabalho, caso a </w:t>
      </w:r>
      <w:r w:rsidR="00542F36"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“mens legislatoris” </w:t>
      </w:r>
      <w:r w:rsidR="00542F36">
        <w:rPr>
          <w:rFonts w:ascii="Bell MT" w:eastAsia="Times New Roman" w:hAnsi="Bell MT" w:cs="Times New Roman"/>
          <w:sz w:val="24"/>
          <w:szCs w:val="24"/>
          <w:lang w:eastAsia="pt-BR"/>
        </w:rPr>
        <w:t xml:space="preserve">seja “subvertida” pela interpretação dos juízes e tribunais do Trabalho. Rejeite-se a interpretação histórica, sistemática ou teleológica. Ignorem-se as possibilidades de interpretação conforme a Constituição (e, portanto, a própria Constituição). </w:t>
      </w:r>
      <w:r w:rsidR="0097016D">
        <w:rPr>
          <w:rFonts w:ascii="Bell MT" w:eastAsia="Times New Roman" w:hAnsi="Bell MT" w:cs="Times New Roman"/>
          <w:sz w:val="24"/>
          <w:szCs w:val="24"/>
          <w:lang w:eastAsia="pt-BR"/>
        </w:rPr>
        <w:t xml:space="preserve">Faça-se unicamente a vontade do legislador histórico (ou, a rigor, a vontade do relator histórico do PL n. 6.787/2016, ainda que mesma essa seja, em muitos aspectos, indevassável). </w:t>
      </w:r>
    </w:p>
    <w:p w:rsidR="0097016D" w:rsidRDefault="0097016D" w:rsidP="004A211F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Tal pendor é autoritário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─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 i.e., antidemocrático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─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>, porque indiretamente recusa ao cidadão uma de suas garantias constitucionais mais valiosas, que é a do pleno acesso a um Poder Judiciário livre e independente. É, ademais, antirrepublicana, porque contraria um dos pilares da República, que é a independência harmônica entre os Poderes do Estado (art. 2º da Constituição). E é, por fim, acintosa, como dito há pouco, porque encerra uma odiosa e leviana chantagem institucional: se quiserem sobreviver, renunciem às suas convicções jurídicas</w:t>
      </w:r>
      <w:r w:rsidR="0067263F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e à própria Constituição como filtro de interpretação. </w:t>
      </w:r>
    </w:p>
    <w:p w:rsidR="00542F36" w:rsidRDefault="00542F36" w:rsidP="004A211F">
      <w:pPr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67263F" w:rsidRPr="00DE16F7" w:rsidRDefault="0067263F" w:rsidP="0067263F">
      <w:pPr>
        <w:tabs>
          <w:tab w:val="left" w:pos="3686"/>
        </w:tabs>
        <w:spacing w:after="0" w:line="240" w:lineRule="auto"/>
        <w:ind w:firstLine="708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Na mesma linha, é inadmissível supor que o “princípio da intervenção mínima”, inserido no art. 8º,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 w:rsidR="00CB1730">
        <w:rPr>
          <w:rFonts w:ascii="Bell MT" w:eastAsia="Times New Roman" w:hAnsi="Bell MT" w:cs="Times New Roman"/>
          <w:sz w:val="24"/>
          <w:szCs w:val="24"/>
          <w:lang w:eastAsia="pt-BR"/>
        </w:rPr>
        <w:t>3º, da CLT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 possa significar uma obsequiosa blindagem para os acordos e convenções coletivas de trabalho, quanto a qualquer questão de “fundo”. Fere a Constituição da República qualquer interpretação daquele texto que termine por extrair, de seus termos, uma norma de absoluta imunidade jurisdicional dos ACT/CCT quanto a seus conteúdos, precisamente porque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>a ordem constitucional brasileira n</w:t>
      </w:r>
      <w:r w:rsidRPr="0067263F"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ão transige com negócios jurídicos imunes à jurisdição. </w:t>
      </w:r>
      <w:r w:rsidRPr="0067263F">
        <w:rPr>
          <w:rFonts w:ascii="Bell MT" w:eastAsia="Times New Roman" w:hAnsi="Bell MT" w:cs="Times New Roman"/>
          <w:sz w:val="24"/>
          <w:szCs w:val="24"/>
          <w:lang w:eastAsia="pt-BR"/>
        </w:rPr>
        <w:t xml:space="preserve">Nos termos do art. 5º, XXXV, CF, </w:t>
      </w:r>
      <w:r w:rsidRPr="0067263F">
        <w:rPr>
          <w:rFonts w:ascii="Bell MT" w:eastAsia="Times New Roman" w:hAnsi="Bell MT" w:cs="Times New Roman"/>
          <w:i/>
          <w:sz w:val="24"/>
          <w:szCs w:val="24"/>
          <w:lang w:eastAsia="pt-BR"/>
        </w:rPr>
        <w:t>“</w:t>
      </w:r>
      <w:r w:rsidRPr="0067263F">
        <w:rPr>
          <w:rFonts w:ascii="Bell MT" w:hAnsi="Bell MT" w:cs="Arial"/>
          <w:i/>
          <w:sz w:val="24"/>
          <w:szCs w:val="24"/>
        </w:rPr>
        <w:t>a lei não excluirá da apreciação do Poder Judiciário lesão ou ameaça a direito</w:t>
      </w:r>
      <w:r w:rsidRPr="0067263F">
        <w:rPr>
          <w:rFonts w:ascii="Bell MT" w:eastAsia="Times New Roman" w:hAnsi="Bell MT" w:cs="Times New Roman"/>
          <w:i/>
          <w:sz w:val="24"/>
          <w:szCs w:val="24"/>
          <w:lang w:eastAsia="pt-BR"/>
        </w:rPr>
        <w:t>”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>(inclusive quando ela dimanar de negócio jurídico)</w:t>
      </w:r>
      <w:r w:rsidRPr="0067263F"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. </w:t>
      </w:r>
      <w:r w:rsidRPr="0067263F">
        <w:rPr>
          <w:rFonts w:ascii="Bell MT" w:eastAsia="Times New Roman" w:hAnsi="Bell MT" w:cs="Times New Roman"/>
          <w:sz w:val="24"/>
          <w:szCs w:val="24"/>
          <w:lang w:eastAsia="pt-BR"/>
        </w:rPr>
        <w:t xml:space="preserve">Eis, então,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as razões pelas quais se há de interpretar o art. 8º,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3º, da CLT no sentido de que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todas as questões de constitucionalidade, convencionalidade e legalidade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podem ser suscitadas, no âmbito da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licitude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 xml:space="preserve">e da </w:t>
      </w:r>
      <w:r>
        <w:rPr>
          <w:rFonts w:ascii="Bell MT" w:eastAsia="Times New Roman" w:hAnsi="Bell MT" w:cs="Times New Roman"/>
          <w:i/>
          <w:sz w:val="24"/>
          <w:szCs w:val="24"/>
          <w:lang w:eastAsia="pt-BR"/>
        </w:rPr>
        <w:t xml:space="preserve">possibilidade jurídica </w:t>
      </w:r>
      <w:r>
        <w:rPr>
          <w:rFonts w:ascii="Bell MT" w:eastAsia="Times New Roman" w:hAnsi="Bell MT" w:cs="Times New Roman"/>
          <w:sz w:val="24"/>
          <w:szCs w:val="24"/>
          <w:lang w:eastAsia="pt-BR"/>
        </w:rPr>
        <w:t>do obje</w:t>
      </w:r>
      <w:r w:rsidRPr="00DE16F7">
        <w:rPr>
          <w:rFonts w:ascii="Bell MT" w:eastAsia="Times New Roman" w:hAnsi="Bell MT" w:cs="Times New Roman"/>
          <w:sz w:val="24"/>
          <w:szCs w:val="24"/>
          <w:lang w:eastAsia="pt-BR"/>
        </w:rPr>
        <w:t>to do negócio jurídico, como dispõe o art. 10</w:t>
      </w:r>
      <w:r w:rsidR="00CB1730">
        <w:rPr>
          <w:rFonts w:ascii="Bell MT" w:eastAsia="Times New Roman" w:hAnsi="Bell MT" w:cs="Times New Roman"/>
          <w:sz w:val="24"/>
          <w:szCs w:val="24"/>
          <w:lang w:eastAsia="pt-BR"/>
        </w:rPr>
        <w:t>4, II,</w:t>
      </w:r>
      <w:r w:rsidRPr="00DE16F7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do CC, referido pelo novo preceito celetário. </w:t>
      </w:r>
    </w:p>
    <w:p w:rsidR="00DE16F7" w:rsidRPr="00DE16F7" w:rsidRDefault="00DE16F7" w:rsidP="00DE16F7">
      <w:pPr>
        <w:tabs>
          <w:tab w:val="left" w:pos="3686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DE16F7" w:rsidRDefault="008A2D00" w:rsidP="00DE16F7">
      <w:pPr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  <w:r>
        <w:rPr>
          <w:rFonts w:ascii="Bell MT" w:eastAsia="Times New Roman" w:hAnsi="Bell MT" w:cs="Times New Roman"/>
          <w:sz w:val="24"/>
          <w:szCs w:val="24"/>
          <w:lang w:eastAsia="pt-BR"/>
        </w:rPr>
        <w:lastRenderedPageBreak/>
        <w:t>Por tudo isso</w:t>
      </w:r>
      <w:r w:rsidR="00DE16F7" w:rsidRPr="00DE16F7">
        <w:rPr>
          <w:rFonts w:ascii="Bell MT" w:eastAsia="Times New Roman" w:hAnsi="Bell MT" w:cs="Times New Roman"/>
          <w:sz w:val="24"/>
          <w:szCs w:val="24"/>
          <w:lang w:eastAsia="pt-BR"/>
        </w:rPr>
        <w:t xml:space="preserve">, em síntese </w:t>
      </w:r>
      <w:r w:rsidR="00DE16F7" w:rsidRPr="00DE16F7">
        <w:rPr>
          <w:rFonts w:ascii="Times New Roman" w:eastAsia="Times New Roman" w:hAnsi="Times New Roman" w:cs="Times New Roman"/>
          <w:sz w:val="24"/>
          <w:szCs w:val="24"/>
          <w:lang w:eastAsia="pt-BR"/>
        </w:rPr>
        <w:t>─</w:t>
      </w:r>
      <w:r w:rsidR="00DE16F7" w:rsidRPr="00DE16F7">
        <w:rPr>
          <w:rFonts w:ascii="Bell MT" w:eastAsia="Times New Roman" w:hAnsi="Bell MT" w:cs="Times New Roman"/>
          <w:sz w:val="24"/>
          <w:szCs w:val="24"/>
          <w:lang w:eastAsia="pt-BR"/>
        </w:rPr>
        <w:t xml:space="preserve"> e eis a tese fundamental a se reconhecer e defender </w:t>
      </w:r>
      <w:r w:rsidR="00DE16F7" w:rsidRPr="00DE16F7">
        <w:rPr>
          <w:rFonts w:ascii="Times New Roman" w:eastAsia="Times New Roman" w:hAnsi="Times New Roman" w:cs="Times New Roman"/>
          <w:sz w:val="24"/>
          <w:szCs w:val="24"/>
          <w:lang w:eastAsia="pt-BR"/>
        </w:rPr>
        <w:t>─</w:t>
      </w:r>
      <w:r w:rsidR="00DE16F7" w:rsidRPr="00DE16F7">
        <w:rPr>
          <w:rFonts w:ascii="Bell MT" w:eastAsia="Times New Roman" w:hAnsi="Bell MT" w:cs="Times New Roman"/>
          <w:sz w:val="24"/>
          <w:szCs w:val="24"/>
          <w:lang w:eastAsia="pt-BR"/>
        </w:rPr>
        <w:t xml:space="preserve">, </w:t>
      </w:r>
      <w:r w:rsidR="00DE16F7">
        <w:rPr>
          <w:rFonts w:ascii="Bell MT" w:eastAsia="Times New Roman" w:hAnsi="Bell MT" w:cs="Times New Roman"/>
          <w:sz w:val="24"/>
          <w:szCs w:val="24"/>
          <w:lang w:eastAsia="pt-BR"/>
        </w:rPr>
        <w:t>impende a afirmar que:</w:t>
      </w:r>
    </w:p>
    <w:p w:rsidR="00DE16F7" w:rsidRDefault="00DE16F7" w:rsidP="00DE16F7">
      <w:pPr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DE16F7" w:rsidRDefault="00DE16F7" w:rsidP="00DE16F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  <w:r w:rsidRPr="00DE16F7">
        <w:rPr>
          <w:rFonts w:ascii="Bell MT" w:eastAsia="Times New Roman" w:hAnsi="Bell MT" w:cs="Times New Roman"/>
          <w:bCs/>
          <w:sz w:val="24"/>
          <w:szCs w:val="24"/>
          <w:lang w:eastAsia="pt-BR"/>
        </w:rPr>
        <w:t xml:space="preserve">Os juízes do Trabalho, à maneira de todos os demais magistrados investidos com jurisdição, em todos </w:t>
      </w:r>
      <w:r w:rsidRPr="00CB1730">
        <w:rPr>
          <w:rFonts w:ascii="Bell MT" w:eastAsia="Times New Roman" w:hAnsi="Bell MT" w:cs="Times New Roman"/>
          <w:bCs/>
          <w:sz w:val="24"/>
          <w:szCs w:val="24"/>
          <w:lang w:eastAsia="pt-BR"/>
        </w:rPr>
        <w:t>os ramos do Judiciário, devem cumprir e fazer cumprir a Constituição e as leis, o que importa no exercício do controle difuso de constitucionalidade das leis (art. 97/CF), no próprio controle de convencionalidade das leis (art. 5º, §§2º e 3º, CF)</w:t>
      </w:r>
      <w:r w:rsidR="00CB1730" w:rsidRPr="00CB1730">
        <w:rPr>
          <w:rFonts w:ascii="Bell MT" w:eastAsia="Times New Roman" w:hAnsi="Bell MT" w:cs="Times New Roman"/>
          <w:bCs/>
          <w:sz w:val="24"/>
          <w:szCs w:val="24"/>
          <w:lang w:eastAsia="pt-BR"/>
        </w:rPr>
        <w:t>, bem como no uso de todos os métodos de interpretação/aplicação disponíveis</w:t>
      </w:r>
      <w:r w:rsidRPr="00CB1730">
        <w:rPr>
          <w:rFonts w:ascii="Bell MT" w:eastAsia="Times New Roman" w:hAnsi="Bell MT" w:cs="Times New Roman"/>
          <w:bCs/>
          <w:sz w:val="24"/>
          <w:szCs w:val="24"/>
          <w:lang w:eastAsia="pt-BR"/>
        </w:rPr>
        <w:t xml:space="preserve"> (gramatical, lógico, histórico, sistemático, teleológico), sem</w:t>
      </w:r>
      <w:r w:rsidRPr="00DE16F7">
        <w:rPr>
          <w:rFonts w:ascii="Bell MT" w:eastAsia="Times New Roman" w:hAnsi="Bell MT" w:cs="Times New Roman"/>
          <w:bCs/>
          <w:sz w:val="24"/>
          <w:szCs w:val="24"/>
          <w:lang w:eastAsia="pt-BR"/>
        </w:rPr>
        <w:t xml:space="preserve"> perder de vista a própria interpretação conforme a Constituição. </w:t>
      </w:r>
    </w:p>
    <w:p w:rsidR="00DE16F7" w:rsidRDefault="00DE16F7" w:rsidP="00DE16F7">
      <w:pPr>
        <w:pStyle w:val="PargrafodaLista"/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</w:p>
    <w:p w:rsidR="00DE16F7" w:rsidRDefault="00DE16F7" w:rsidP="00DE16F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  <w:r w:rsidRPr="00DE16F7">
        <w:rPr>
          <w:rFonts w:ascii="Bell MT" w:eastAsia="Times New Roman" w:hAnsi="Bell MT" w:cs="Times New Roman"/>
          <w:bCs/>
          <w:sz w:val="24"/>
          <w:szCs w:val="24"/>
          <w:lang w:eastAsia="pt-BR"/>
        </w:rPr>
        <w:t>Nessa medida:</w:t>
      </w:r>
    </w:p>
    <w:p w:rsidR="00DE16F7" w:rsidRPr="00DE16F7" w:rsidRDefault="00DE16F7" w:rsidP="00DE16F7">
      <w:pPr>
        <w:pStyle w:val="PargrafodaLista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</w:p>
    <w:p w:rsidR="00DE16F7" w:rsidRDefault="00DE16F7" w:rsidP="00DE16F7">
      <w:pPr>
        <w:pStyle w:val="PargrafodaLista"/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  <w:r w:rsidRPr="00DE16F7">
        <w:rPr>
          <w:rFonts w:ascii="Bell MT" w:eastAsia="Times New Roman" w:hAnsi="Bell MT" w:cs="Times New Roman"/>
          <w:bCs/>
          <w:sz w:val="24"/>
          <w:szCs w:val="24"/>
          <w:lang w:eastAsia="pt-BR"/>
        </w:rPr>
        <w:t>(a) será inconstitucional qualquer norma que colime imunizar o conteúdo dos acordos e convenções coletivas de trabalho da apreciação da Justiça do Trabalho, inclusive quanto à sua constitucionalidade, convencionalidade. legalidade e conformidade com a ordem pública social, não se admitindo qualquer interpretação que, dimanada do art. 8º, §3º, da CLT, possa elidir a garantia da inafastabilidade da jurisdição (art. 5º, XXXV, CF);</w:t>
      </w:r>
    </w:p>
    <w:p w:rsidR="00DE16F7" w:rsidRDefault="00DE16F7" w:rsidP="00DE16F7">
      <w:pPr>
        <w:pStyle w:val="PargrafodaLista"/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</w:p>
    <w:p w:rsidR="00DE16F7" w:rsidRPr="00DE16F7" w:rsidRDefault="00DE16F7" w:rsidP="00DE16F7">
      <w:pPr>
        <w:pStyle w:val="PargrafodaLista"/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  <w:r w:rsidRPr="00DE16F7">
        <w:rPr>
          <w:rFonts w:ascii="Bell MT" w:eastAsia="Times New Roman" w:hAnsi="Bell MT" w:cs="Times New Roman"/>
          <w:bCs/>
          <w:sz w:val="24"/>
          <w:szCs w:val="24"/>
          <w:lang w:eastAsia="pt-BR"/>
        </w:rPr>
        <w:t xml:space="preserve">(b) será autoritária, antirrepublicana e acintosa, agredindo a independência harmônica entre os Poderes da República (art. 2º/CF) e a independência técnica do juiz (arts. 35, I, e 40, da Lei Complementar n. 35/1979), toda ação política, midiática, administrativa ou correicional que pretender imputar ao juiz o “dever” de interpretar a Lei n. 13.467/2017 de modo exclusivamente literal/gramatical.  </w:t>
      </w:r>
    </w:p>
    <w:p w:rsidR="00DE16F7" w:rsidRPr="00DE16F7" w:rsidRDefault="00DE16F7" w:rsidP="00DE16F7">
      <w:pPr>
        <w:spacing w:after="0" w:line="240" w:lineRule="auto"/>
        <w:jc w:val="both"/>
        <w:rPr>
          <w:rFonts w:ascii="Bell MT" w:eastAsia="Times New Roman" w:hAnsi="Bell MT" w:cs="Times New Roman"/>
          <w:bCs/>
          <w:sz w:val="24"/>
          <w:szCs w:val="24"/>
          <w:lang w:eastAsia="pt-BR"/>
        </w:rPr>
      </w:pPr>
    </w:p>
    <w:p w:rsidR="00DE16F7" w:rsidRPr="00DE16F7" w:rsidRDefault="00DE16F7" w:rsidP="00DE16F7">
      <w:pPr>
        <w:tabs>
          <w:tab w:val="left" w:pos="3686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FE5480" w:rsidRPr="00DE16F7" w:rsidRDefault="00FE5480" w:rsidP="00CB5B5A">
      <w:pPr>
        <w:rPr>
          <w:rFonts w:ascii="Bell MT" w:eastAsia="Times New Roman" w:hAnsi="Bell MT" w:cs="Times New Roman"/>
          <w:sz w:val="24"/>
          <w:szCs w:val="24"/>
          <w:lang w:eastAsia="pt-BR"/>
        </w:rPr>
      </w:pPr>
    </w:p>
    <w:p w:rsidR="0067263F" w:rsidRPr="00DE16F7" w:rsidRDefault="0067263F" w:rsidP="0067263F">
      <w:pPr>
        <w:jc w:val="center"/>
        <w:rPr>
          <w:rFonts w:ascii="Bell MT" w:hAnsi="Bell MT"/>
          <w:sz w:val="24"/>
          <w:szCs w:val="24"/>
        </w:rPr>
      </w:pPr>
      <w:r w:rsidRPr="00DE16F7">
        <w:rPr>
          <w:rFonts w:ascii="Bell MT" w:eastAsia="Times New Roman" w:hAnsi="Bell MT" w:cs="Times New Roman"/>
          <w:sz w:val="24"/>
          <w:szCs w:val="24"/>
          <w:lang w:eastAsia="pt-BR"/>
        </w:rPr>
        <w:t>*****</w:t>
      </w:r>
    </w:p>
    <w:sectPr w:rsidR="0067263F" w:rsidRPr="00DE1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26" w:rsidRDefault="001C3726" w:rsidP="00E76910">
      <w:pPr>
        <w:spacing w:after="0" w:line="240" w:lineRule="auto"/>
      </w:pPr>
      <w:r>
        <w:separator/>
      </w:r>
    </w:p>
  </w:endnote>
  <w:endnote w:type="continuationSeparator" w:id="0">
    <w:p w:rsidR="001C3726" w:rsidRDefault="001C3726" w:rsidP="00E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26" w:rsidRDefault="001C3726" w:rsidP="00E76910">
      <w:pPr>
        <w:spacing w:after="0" w:line="240" w:lineRule="auto"/>
      </w:pPr>
      <w:r>
        <w:separator/>
      </w:r>
    </w:p>
  </w:footnote>
  <w:footnote w:type="continuationSeparator" w:id="0">
    <w:p w:rsidR="001C3726" w:rsidRDefault="001C3726" w:rsidP="00E76910">
      <w:pPr>
        <w:spacing w:after="0" w:line="240" w:lineRule="auto"/>
      </w:pPr>
      <w:r>
        <w:continuationSeparator/>
      </w:r>
    </w:p>
  </w:footnote>
  <w:footnote w:id="1">
    <w:p w:rsidR="00E76910" w:rsidRPr="00D160B8" w:rsidRDefault="00E76910" w:rsidP="00D160B8">
      <w:pPr>
        <w:jc w:val="both"/>
        <w:rPr>
          <w:rFonts w:ascii="Times New Roman" w:hAnsi="Times New Roman" w:cs="Times New Roman"/>
          <w:sz w:val="16"/>
          <w:szCs w:val="16"/>
        </w:rPr>
      </w:pPr>
      <w:r w:rsidRPr="00D160B8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D160B8">
        <w:rPr>
          <w:rFonts w:ascii="Times New Roman" w:hAnsi="Times New Roman" w:cs="Times New Roman"/>
          <w:sz w:val="16"/>
          <w:szCs w:val="16"/>
        </w:rPr>
        <w:t xml:space="preserve"> Thomas Bingham [Lord Bingham of Cornhill], </w:t>
      </w:r>
      <w:r w:rsidRPr="00D160B8">
        <w:rPr>
          <w:rFonts w:ascii="Times New Roman" w:hAnsi="Times New Roman" w:cs="Times New Roman"/>
          <w:i/>
          <w:sz w:val="16"/>
          <w:szCs w:val="16"/>
        </w:rPr>
        <w:t>“Judicial Independence”</w:t>
      </w:r>
      <w:r w:rsidRPr="00D160B8">
        <w:rPr>
          <w:rFonts w:ascii="Times New Roman" w:hAnsi="Times New Roman" w:cs="Times New Roman"/>
          <w:sz w:val="16"/>
          <w:szCs w:val="16"/>
        </w:rPr>
        <w:t xml:space="preserve">. In: </w:t>
      </w:r>
      <w:r w:rsidRPr="00D160B8">
        <w:rPr>
          <w:rFonts w:ascii="Times New Roman" w:hAnsi="Times New Roman" w:cs="Times New Roman"/>
          <w:i/>
          <w:sz w:val="16"/>
          <w:szCs w:val="16"/>
        </w:rPr>
        <w:t>Judicial Studies Board Annual Lecture</w:t>
      </w:r>
      <w:r w:rsidRPr="00D160B8">
        <w:rPr>
          <w:rFonts w:ascii="Times New Roman" w:hAnsi="Times New Roman" w:cs="Times New Roman"/>
          <w:sz w:val="16"/>
          <w:szCs w:val="16"/>
        </w:rPr>
        <w:t>, 1996 (</w:t>
      </w:r>
      <w:r w:rsidRPr="00D160B8">
        <w:rPr>
          <w:rFonts w:ascii="Times New Roman" w:hAnsi="Times New Roman" w:cs="Times New Roman"/>
          <w:i/>
          <w:sz w:val="16"/>
          <w:szCs w:val="16"/>
        </w:rPr>
        <w:t>g.n.</w:t>
      </w:r>
      <w:r w:rsidRPr="00D160B8">
        <w:rPr>
          <w:rFonts w:ascii="Times New Roman" w:hAnsi="Times New Roman" w:cs="Times New Roman"/>
          <w:sz w:val="16"/>
          <w:szCs w:val="16"/>
        </w:rPr>
        <w:t>).</w:t>
      </w:r>
    </w:p>
  </w:footnote>
  <w:footnote w:id="2">
    <w:p w:rsidR="00E76910" w:rsidRPr="00D160B8" w:rsidRDefault="00E76910" w:rsidP="00D160B8">
      <w:pPr>
        <w:pStyle w:val="Textodenotaderodap"/>
        <w:jc w:val="both"/>
        <w:rPr>
          <w:sz w:val="16"/>
          <w:szCs w:val="16"/>
          <w:lang w:val="pt-BR"/>
        </w:rPr>
      </w:pPr>
      <w:r w:rsidRPr="00D160B8">
        <w:rPr>
          <w:rStyle w:val="Refdenotaderodap"/>
          <w:sz w:val="16"/>
          <w:szCs w:val="16"/>
        </w:rPr>
        <w:footnoteRef/>
      </w:r>
      <w:r w:rsidRPr="00D160B8">
        <w:rPr>
          <w:sz w:val="16"/>
          <w:szCs w:val="16"/>
        </w:rPr>
        <w:t xml:space="preserve"> Cícero Araújo. Leopoldo, Waizbort, </w:t>
      </w:r>
      <w:r w:rsidRPr="00D160B8">
        <w:rPr>
          <w:i/>
          <w:sz w:val="16"/>
          <w:szCs w:val="16"/>
        </w:rPr>
        <w:t xml:space="preserve">Sistema e evolução na teoria de Luhmann. </w:t>
      </w:r>
      <w:r w:rsidRPr="00D160B8">
        <w:rPr>
          <w:sz w:val="16"/>
          <w:szCs w:val="16"/>
        </w:rPr>
        <w:t xml:space="preserve">In: </w:t>
      </w:r>
      <w:r w:rsidRPr="00D160B8">
        <w:rPr>
          <w:i/>
          <w:sz w:val="16"/>
          <w:szCs w:val="16"/>
        </w:rPr>
        <w:t xml:space="preserve">Lua Nova: Revista de Cultura e Política. </w:t>
      </w:r>
      <w:r w:rsidRPr="00D160B8">
        <w:rPr>
          <w:sz w:val="16"/>
          <w:szCs w:val="16"/>
        </w:rPr>
        <w:t>São Paulo: agosto 1999. n. 47. pp.179-200</w:t>
      </w:r>
      <w:r w:rsidRPr="00D160B8">
        <w:rPr>
          <w:i/>
          <w:sz w:val="16"/>
          <w:szCs w:val="16"/>
        </w:rPr>
        <w:t xml:space="preserve">. V. </w:t>
      </w:r>
      <w:r w:rsidRPr="00D160B8">
        <w:rPr>
          <w:sz w:val="16"/>
          <w:szCs w:val="16"/>
        </w:rPr>
        <w:t xml:space="preserve">também Guilherme G. Feliciano, Carlos Eduardo O. Dias, </w:t>
      </w:r>
      <w:r w:rsidRPr="00D160B8">
        <w:rPr>
          <w:i/>
          <w:sz w:val="16"/>
          <w:szCs w:val="16"/>
        </w:rPr>
        <w:t xml:space="preserve">De juízos autoritários, </w:t>
      </w:r>
      <w:r w:rsidRPr="00D160B8">
        <w:rPr>
          <w:sz w:val="16"/>
          <w:szCs w:val="16"/>
        </w:rPr>
        <w:t xml:space="preserve">in </w:t>
      </w:r>
      <w:r w:rsidRPr="00D160B8">
        <w:rPr>
          <w:i/>
          <w:sz w:val="16"/>
          <w:szCs w:val="16"/>
        </w:rPr>
        <w:t xml:space="preserve">http://www.conjur.com.br/2015-ago-24/juizes-nao-sao-automatos-tambem-manifestam-percepcoes-subjetivas </w:t>
      </w:r>
      <w:r w:rsidRPr="00D160B8">
        <w:rPr>
          <w:sz w:val="16"/>
          <w:szCs w:val="16"/>
        </w:rPr>
        <w:t>(acesso em 11.10.2016).</w:t>
      </w:r>
    </w:p>
  </w:footnote>
  <w:footnote w:id="3">
    <w:p w:rsidR="00E76910" w:rsidRPr="00D160B8" w:rsidRDefault="00E76910" w:rsidP="00D160B8">
      <w:pPr>
        <w:pStyle w:val="Textodenotaderodap"/>
        <w:jc w:val="both"/>
        <w:rPr>
          <w:sz w:val="16"/>
          <w:szCs w:val="16"/>
          <w:lang w:val="pt-BR"/>
        </w:rPr>
      </w:pPr>
      <w:r w:rsidRPr="00D160B8">
        <w:rPr>
          <w:rStyle w:val="Refdenotaderodap"/>
          <w:sz w:val="16"/>
          <w:szCs w:val="16"/>
        </w:rPr>
        <w:footnoteRef/>
      </w:r>
      <w:r w:rsidRPr="00D160B8">
        <w:rPr>
          <w:sz w:val="16"/>
          <w:szCs w:val="16"/>
        </w:rPr>
        <w:t xml:space="preserve"> </w:t>
      </w:r>
      <w:r w:rsidRPr="00D160B8">
        <w:rPr>
          <w:sz w:val="16"/>
          <w:szCs w:val="16"/>
          <w:lang w:val="pt-BR"/>
        </w:rPr>
        <w:t xml:space="preserve">V., a respeito, </w:t>
      </w:r>
      <w:r w:rsidRPr="00D160B8">
        <w:rPr>
          <w:sz w:val="16"/>
          <w:szCs w:val="16"/>
          <w:lang w:val="pt-PT"/>
        </w:rPr>
        <w:t xml:space="preserve">Otto Bachof, </w:t>
      </w:r>
      <w:r w:rsidRPr="00D160B8">
        <w:rPr>
          <w:i/>
          <w:sz w:val="16"/>
          <w:szCs w:val="16"/>
          <w:lang w:val="de-DE"/>
        </w:rPr>
        <w:t>“Der Richter als Gesetzgeber?”</w:t>
      </w:r>
      <w:r w:rsidRPr="00D160B8">
        <w:rPr>
          <w:sz w:val="16"/>
          <w:szCs w:val="16"/>
          <w:lang w:val="de-DE"/>
        </w:rPr>
        <w:t xml:space="preserve">. In: </w:t>
      </w:r>
      <w:r w:rsidRPr="00D160B8">
        <w:rPr>
          <w:i/>
          <w:sz w:val="16"/>
          <w:szCs w:val="16"/>
          <w:lang w:val="de-DE"/>
        </w:rPr>
        <w:t xml:space="preserve">Tradition und Fortschritt im Recht: Festschrift zum 500jähringen Bestehen der Tübinger Juristenfakultät. </w:t>
      </w:r>
      <w:r w:rsidRPr="00D160B8">
        <w:rPr>
          <w:sz w:val="16"/>
          <w:szCs w:val="16"/>
          <w:lang w:val="pt-BR"/>
        </w:rPr>
        <w:t>Tübingen: J.C.B. Mohr, 1977. pp.177-192.</w:t>
      </w:r>
    </w:p>
  </w:footnote>
  <w:footnote w:id="4">
    <w:p w:rsidR="00E76910" w:rsidRPr="00D160B8" w:rsidRDefault="00E76910" w:rsidP="00D160B8">
      <w:pPr>
        <w:pStyle w:val="Textodenotaderodap"/>
        <w:jc w:val="both"/>
        <w:rPr>
          <w:sz w:val="16"/>
          <w:szCs w:val="16"/>
          <w:lang w:val="pt-BR"/>
        </w:rPr>
      </w:pPr>
      <w:r w:rsidRPr="00D160B8">
        <w:rPr>
          <w:rStyle w:val="Refdenotaderodap"/>
          <w:sz w:val="16"/>
          <w:szCs w:val="16"/>
        </w:rPr>
        <w:footnoteRef/>
      </w:r>
      <w:r w:rsidRPr="00D160B8">
        <w:rPr>
          <w:sz w:val="16"/>
          <w:szCs w:val="16"/>
        </w:rPr>
        <w:t xml:space="preserve"> </w:t>
      </w:r>
      <w:r w:rsidRPr="00D160B8">
        <w:rPr>
          <w:i/>
          <w:sz w:val="16"/>
          <w:szCs w:val="16"/>
          <w:lang w:val="pt-BR"/>
        </w:rPr>
        <w:t xml:space="preserve"> </w:t>
      </w:r>
      <w:r w:rsidRPr="00D160B8">
        <w:rPr>
          <w:sz w:val="16"/>
          <w:szCs w:val="16"/>
          <w:lang w:val="pt-BR"/>
        </w:rPr>
        <w:t xml:space="preserve">Lúcio Kowarick, </w:t>
      </w:r>
      <w:r w:rsidRPr="00D160B8">
        <w:rPr>
          <w:i/>
          <w:sz w:val="16"/>
          <w:szCs w:val="16"/>
          <w:lang w:val="pt-BR"/>
        </w:rPr>
        <w:t>“Centro de cobiça”</w:t>
      </w:r>
      <w:r w:rsidRPr="00D160B8">
        <w:rPr>
          <w:sz w:val="16"/>
          <w:szCs w:val="16"/>
          <w:lang w:val="pt-BR"/>
        </w:rPr>
        <w:t xml:space="preserve">. In: </w:t>
      </w:r>
      <w:r w:rsidRPr="00D160B8">
        <w:rPr>
          <w:i/>
          <w:sz w:val="16"/>
          <w:szCs w:val="16"/>
          <w:lang w:val="pt-BR"/>
        </w:rPr>
        <w:t>O Estado de S. Paulo</w:t>
      </w:r>
      <w:r w:rsidRPr="00D160B8">
        <w:rPr>
          <w:sz w:val="16"/>
          <w:szCs w:val="16"/>
          <w:lang w:val="pt-BR"/>
        </w:rPr>
        <w:t>. 29.01.2012. p.J-3.</w:t>
      </w:r>
    </w:p>
  </w:footnote>
  <w:footnote w:id="5">
    <w:p w:rsidR="00E76910" w:rsidRPr="00D160B8" w:rsidRDefault="00E76910" w:rsidP="00D160B8">
      <w:pPr>
        <w:pStyle w:val="Textodenotaderodap"/>
        <w:jc w:val="both"/>
        <w:rPr>
          <w:sz w:val="16"/>
          <w:szCs w:val="16"/>
          <w:lang w:val="pt-BR"/>
        </w:rPr>
      </w:pPr>
      <w:r w:rsidRPr="00D160B8">
        <w:rPr>
          <w:rStyle w:val="Refdenotaderodap"/>
          <w:sz w:val="16"/>
          <w:szCs w:val="16"/>
        </w:rPr>
        <w:footnoteRef/>
      </w:r>
      <w:r w:rsidRPr="00D160B8">
        <w:rPr>
          <w:sz w:val="16"/>
          <w:szCs w:val="16"/>
        </w:rPr>
        <w:t xml:space="preserve"> </w:t>
      </w:r>
      <w:r w:rsidRPr="00D160B8">
        <w:rPr>
          <w:rStyle w:val="Refdenotaderodap"/>
          <w:sz w:val="16"/>
          <w:szCs w:val="16"/>
          <w:lang w:val="pt-BR"/>
        </w:rPr>
        <w:t xml:space="preserve"> </w:t>
      </w:r>
      <w:r w:rsidRPr="00D160B8">
        <w:rPr>
          <w:sz w:val="16"/>
          <w:szCs w:val="16"/>
          <w:lang w:val="pt-BR"/>
        </w:rPr>
        <w:t xml:space="preserve">Hélio Schwartsman, </w:t>
      </w:r>
      <w:r w:rsidRPr="00D160B8">
        <w:rPr>
          <w:i/>
          <w:sz w:val="16"/>
          <w:szCs w:val="16"/>
          <w:lang w:val="pt-BR"/>
        </w:rPr>
        <w:t>“Tão perto, tão longe”</w:t>
      </w:r>
      <w:r w:rsidRPr="00D160B8">
        <w:rPr>
          <w:sz w:val="16"/>
          <w:szCs w:val="16"/>
          <w:lang w:val="pt-BR"/>
        </w:rPr>
        <w:t xml:space="preserve">. In: </w:t>
      </w:r>
      <w:r w:rsidRPr="00D160B8">
        <w:rPr>
          <w:i/>
          <w:sz w:val="16"/>
          <w:szCs w:val="16"/>
          <w:lang w:val="pt-BR"/>
        </w:rPr>
        <w:t>Folha de S. Paulo</w:t>
      </w:r>
      <w:r w:rsidRPr="00D160B8">
        <w:rPr>
          <w:sz w:val="16"/>
          <w:szCs w:val="16"/>
          <w:lang w:val="pt-BR"/>
        </w:rPr>
        <w:t>. 27.01.2012. p.A-2.</w:t>
      </w:r>
    </w:p>
  </w:footnote>
  <w:footnote w:id="6">
    <w:p w:rsidR="00E76910" w:rsidRPr="00D160B8" w:rsidRDefault="00E76910" w:rsidP="00D160B8">
      <w:pPr>
        <w:pStyle w:val="Textodenotaderodap"/>
        <w:jc w:val="both"/>
        <w:rPr>
          <w:sz w:val="16"/>
          <w:szCs w:val="16"/>
          <w:lang w:val="pt-BR"/>
        </w:rPr>
      </w:pPr>
      <w:r w:rsidRPr="00D160B8">
        <w:rPr>
          <w:rStyle w:val="Refdenotaderodap"/>
          <w:sz w:val="16"/>
          <w:szCs w:val="16"/>
        </w:rPr>
        <w:footnoteRef/>
      </w:r>
      <w:r w:rsidRPr="00D160B8">
        <w:rPr>
          <w:sz w:val="16"/>
          <w:szCs w:val="16"/>
        </w:rPr>
        <w:t xml:space="preserve"> </w:t>
      </w:r>
      <w:r w:rsidRPr="00D160B8">
        <w:rPr>
          <w:sz w:val="16"/>
          <w:szCs w:val="16"/>
          <w:lang w:val="pt-BR"/>
        </w:rPr>
        <w:t xml:space="preserve"> Francisco </w:t>
      </w:r>
      <w:r w:rsidRPr="00D160B8">
        <w:rPr>
          <w:rStyle w:val="Refdenotaderodap"/>
          <w:sz w:val="16"/>
          <w:szCs w:val="16"/>
          <w:lang w:val="pt-BR"/>
        </w:rPr>
        <w:t xml:space="preserve"> </w:t>
      </w:r>
      <w:r w:rsidRPr="00D160B8">
        <w:rPr>
          <w:sz w:val="16"/>
          <w:szCs w:val="16"/>
          <w:lang w:val="pt-BR"/>
        </w:rPr>
        <w:t xml:space="preserve">Tomás y Valiente, </w:t>
      </w:r>
      <w:r w:rsidRPr="00D160B8">
        <w:rPr>
          <w:i/>
          <w:sz w:val="16"/>
          <w:szCs w:val="16"/>
          <w:lang w:val="es-AR"/>
        </w:rPr>
        <w:t>“Independencia judicial y garantía de los derechos fundamentales”</w:t>
      </w:r>
      <w:r w:rsidRPr="00D160B8">
        <w:rPr>
          <w:sz w:val="16"/>
          <w:szCs w:val="16"/>
          <w:lang w:val="es-AR"/>
        </w:rPr>
        <w:t xml:space="preserve">. In: </w:t>
      </w:r>
      <w:r w:rsidRPr="00D160B8">
        <w:rPr>
          <w:i/>
          <w:sz w:val="16"/>
          <w:szCs w:val="16"/>
          <w:lang w:val="es-AR"/>
        </w:rPr>
        <w:t xml:space="preserve">Constitución: Escritos de introducción histórica. </w:t>
      </w:r>
      <w:r w:rsidRPr="00D160B8">
        <w:rPr>
          <w:sz w:val="16"/>
          <w:szCs w:val="16"/>
          <w:lang w:val="pt-BR"/>
        </w:rPr>
        <w:t>Madrid: Marcial Pons, 1996. p.163  (</w:t>
      </w:r>
      <w:r w:rsidRPr="00D160B8">
        <w:rPr>
          <w:i/>
          <w:sz w:val="16"/>
          <w:szCs w:val="16"/>
          <w:lang w:val="pt-BR"/>
        </w:rPr>
        <w:t>g.n.</w:t>
      </w:r>
      <w:r w:rsidRPr="00D160B8">
        <w:rPr>
          <w:sz w:val="16"/>
          <w:szCs w:val="16"/>
          <w:lang w:val="pt-BR"/>
        </w:rPr>
        <w:t>).</w:t>
      </w:r>
      <w:r w:rsidRPr="00D160B8">
        <w:rPr>
          <w:i/>
          <w:sz w:val="16"/>
          <w:szCs w:val="16"/>
          <w:lang w:val="pt-BR"/>
        </w:rPr>
        <w:t xml:space="preserve"> </w:t>
      </w:r>
      <w:r w:rsidRPr="00D160B8">
        <w:rPr>
          <w:sz w:val="16"/>
          <w:szCs w:val="16"/>
          <w:lang w:val="pt-BR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7313"/>
    <w:multiLevelType w:val="hybridMultilevel"/>
    <w:tmpl w:val="599E7976"/>
    <w:lvl w:ilvl="0" w:tplc="B6BAAF9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BE"/>
    <w:rsid w:val="000B4C84"/>
    <w:rsid w:val="001C3726"/>
    <w:rsid w:val="002A40A6"/>
    <w:rsid w:val="002C4541"/>
    <w:rsid w:val="00337B50"/>
    <w:rsid w:val="00464FE0"/>
    <w:rsid w:val="00491BC7"/>
    <w:rsid w:val="004A211F"/>
    <w:rsid w:val="004A698E"/>
    <w:rsid w:val="00542F36"/>
    <w:rsid w:val="006708D2"/>
    <w:rsid w:val="0067263F"/>
    <w:rsid w:val="006D3FBE"/>
    <w:rsid w:val="007C39E5"/>
    <w:rsid w:val="008A2D00"/>
    <w:rsid w:val="008A6914"/>
    <w:rsid w:val="008A7CDE"/>
    <w:rsid w:val="008B4913"/>
    <w:rsid w:val="008D1C2C"/>
    <w:rsid w:val="008E11D0"/>
    <w:rsid w:val="0097016D"/>
    <w:rsid w:val="009717E0"/>
    <w:rsid w:val="00981280"/>
    <w:rsid w:val="00CB1730"/>
    <w:rsid w:val="00CB5B5A"/>
    <w:rsid w:val="00D160B8"/>
    <w:rsid w:val="00D758CF"/>
    <w:rsid w:val="00DE16F7"/>
    <w:rsid w:val="00E136D4"/>
    <w:rsid w:val="00E60BFC"/>
    <w:rsid w:val="00E6568C"/>
    <w:rsid w:val="00E76910"/>
    <w:rsid w:val="00EF0A6A"/>
    <w:rsid w:val="00FD4932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280"/>
    <w:pPr>
      <w:ind w:left="720"/>
      <w:contextualSpacing/>
    </w:pPr>
  </w:style>
  <w:style w:type="paragraph" w:customStyle="1" w:styleId="Padro">
    <w:name w:val="Padrão"/>
    <w:rsid w:val="00E769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E769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7691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E769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280"/>
    <w:pPr>
      <w:ind w:left="720"/>
      <w:contextualSpacing/>
    </w:pPr>
  </w:style>
  <w:style w:type="paragraph" w:customStyle="1" w:styleId="Padro">
    <w:name w:val="Padrão"/>
    <w:rsid w:val="00E769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E769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7691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E76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27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5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16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0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5957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9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3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6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1980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 15ª Região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Feliciano</dc:creator>
  <cp:lastModifiedBy>Administrador</cp:lastModifiedBy>
  <cp:revision>3</cp:revision>
  <dcterms:created xsi:type="dcterms:W3CDTF">2018-04-11T14:22:00Z</dcterms:created>
  <dcterms:modified xsi:type="dcterms:W3CDTF">2018-04-11T14:22:00Z</dcterms:modified>
</cp:coreProperties>
</file>