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BE" w:rsidRDefault="00B961BE" w:rsidP="00B961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Liquidação. </w:t>
      </w:r>
    </w:p>
    <w:p w:rsidR="00B961BE" w:rsidRDefault="00B961BE" w:rsidP="00B961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961BE" w:rsidRPr="00B961BE" w:rsidRDefault="00B961BE" w:rsidP="00B9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BE">
        <w:rPr>
          <w:rFonts w:ascii="Arial" w:eastAsia="Times New Roman" w:hAnsi="Arial" w:cs="Arial"/>
          <w:color w:val="000000"/>
          <w:lang w:eastAsia="pt-BR"/>
        </w:rPr>
        <w:t>A modificação do par. 2o. do art. 879 não obriga o magistrado a conceder prazo para manifestação sobre os cálculos. O procedimento apenas estabelece que, uma vez concedido, se a parte nada manifestar, ocorrerá a preclusão. A homologação direta não viola qualquer direito, pois o tema pode ser discutido na impugnação/embargos, conforme parágrafo 3o. do art. 884 da CLT, não alterado pela Lei 13.467. Caso a parte alegue nulidade nos embargos, pode ser rejeitada pela ausência de prejuízo.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961BE">
        <w:rPr>
          <w:rFonts w:ascii="Arial" w:eastAsia="Times New Roman" w:hAnsi="Arial" w:cs="Arial"/>
          <w:color w:val="000000"/>
          <w:lang w:eastAsia="pt-BR"/>
        </w:rPr>
        <w:t>A</w:t>
      </w:r>
      <w:r>
        <w:rPr>
          <w:rFonts w:ascii="Arial" w:eastAsia="Times New Roman" w:hAnsi="Arial" w:cs="Arial"/>
          <w:color w:val="000000"/>
          <w:lang w:eastAsia="pt-BR"/>
        </w:rPr>
        <w:t>inda, a</w:t>
      </w:r>
      <w:r w:rsidRPr="00B961BE">
        <w:rPr>
          <w:rFonts w:ascii="Arial" w:eastAsia="Times New Roman" w:hAnsi="Arial" w:cs="Arial"/>
          <w:color w:val="000000"/>
          <w:lang w:eastAsia="pt-BR"/>
        </w:rPr>
        <w:t xml:space="preserve"> regra modificada não impede que haja prolação de sentença líquida.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961BE">
        <w:rPr>
          <w:rFonts w:ascii="Arial" w:eastAsia="Times New Roman" w:hAnsi="Arial" w:cs="Arial"/>
          <w:color w:val="000000"/>
          <w:lang w:eastAsia="pt-BR"/>
        </w:rPr>
        <w:t xml:space="preserve">A nova redação do art. 841, da CLT não limita o valor da liquidação ao </w:t>
      </w:r>
      <w:r>
        <w:rPr>
          <w:rFonts w:ascii="Arial" w:eastAsia="Times New Roman" w:hAnsi="Arial" w:cs="Arial"/>
          <w:color w:val="000000"/>
          <w:lang w:eastAsia="pt-BR"/>
        </w:rPr>
        <w:t xml:space="preserve">valor </w:t>
      </w:r>
      <w:r w:rsidRPr="00B961BE">
        <w:rPr>
          <w:rFonts w:ascii="Arial" w:eastAsia="Times New Roman" w:hAnsi="Arial" w:cs="Arial"/>
          <w:color w:val="000000"/>
          <w:lang w:eastAsia="pt-BR"/>
        </w:rPr>
        <w:t>que foi estimado na inicial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:rsidR="00B961BE" w:rsidRDefault="00B961BE">
      <w:bookmarkStart w:id="0" w:name="_GoBack"/>
      <w:bookmarkEnd w:id="0"/>
    </w:p>
    <w:sectPr w:rsidR="00B96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BE"/>
    <w:rsid w:val="00B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7979"/>
  <w15:chartTrackingRefBased/>
  <w15:docId w15:val="{0018289F-D57A-4E27-869F-CCAFAFC6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2018-04-11T14:54:00Z</dcterms:created>
  <dcterms:modified xsi:type="dcterms:W3CDTF">2018-04-11T14:56:00Z</dcterms:modified>
</cp:coreProperties>
</file>