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DA" w:rsidRPr="009F32DC" w:rsidRDefault="005852DA" w:rsidP="00940DEA">
      <w:pPr>
        <w:pStyle w:val="NormalWeb"/>
        <w:spacing w:after="200" w:afterAutospacing="0" w:line="276" w:lineRule="auto"/>
        <w:jc w:val="both"/>
        <w:rPr>
          <w:b/>
          <w:bCs/>
        </w:rPr>
      </w:pPr>
    </w:p>
    <w:p w:rsidR="008375E9" w:rsidRPr="009F32DC" w:rsidRDefault="008375E9" w:rsidP="00940DEA">
      <w:pPr>
        <w:pStyle w:val="NormalWeb"/>
        <w:spacing w:line="276" w:lineRule="auto"/>
        <w:jc w:val="both"/>
        <w:rPr>
          <w:bCs/>
        </w:rPr>
      </w:pPr>
      <w:r w:rsidRPr="009F32DC">
        <w:rPr>
          <w:b/>
          <w:bCs/>
        </w:rPr>
        <w:t xml:space="preserve">COMISSÃO O4: </w:t>
      </w:r>
      <w:r w:rsidRPr="009F32DC">
        <w:rPr>
          <w:bCs/>
        </w:rPr>
        <w:t>REFORMA TRABALHISTA: ACESSO, GARANTIAS PROCESSUAIS E EFETIVIDADE</w:t>
      </w:r>
    </w:p>
    <w:p w:rsidR="00B0279F" w:rsidRPr="009F32DC" w:rsidRDefault="004F399C" w:rsidP="009D33BC">
      <w:pPr>
        <w:pStyle w:val="Textodenotaderoda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DC">
        <w:rPr>
          <w:rFonts w:ascii="Times New Roman" w:hAnsi="Times New Roman" w:cs="Times New Roman"/>
          <w:b/>
          <w:bCs/>
          <w:sz w:val="24"/>
          <w:szCs w:val="24"/>
        </w:rPr>
        <w:t>EMENTA:</w:t>
      </w:r>
      <w:r w:rsidR="008375E9" w:rsidRPr="009F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0E71" w:rsidRPr="009F32DC">
        <w:rPr>
          <w:rFonts w:ascii="Times New Roman" w:hAnsi="Times New Roman" w:cs="Times New Roman"/>
          <w:sz w:val="24"/>
          <w:szCs w:val="24"/>
        </w:rPr>
        <w:t xml:space="preserve">HONORÁRIOS ADVOCATÍCIOS SUCUMBENCIAIS. TRABALHADOR BENEFICIÁRIO DA JUSTIÇA GRATUITA. REGULAMENTAÇÃO CONCORRENCIAL NO PROCESSO COMUM E NO PROCESSO DO TRABALHO.  APLICAÇÃO DA NORMA MAIS APTA </w:t>
      </w:r>
      <w:r w:rsidR="00FF2B47" w:rsidRPr="009F32DC">
        <w:rPr>
          <w:rFonts w:ascii="Times New Roman" w:hAnsi="Times New Roman" w:cs="Times New Roman"/>
          <w:sz w:val="24"/>
          <w:szCs w:val="24"/>
        </w:rPr>
        <w:t xml:space="preserve">À TUTELA </w:t>
      </w:r>
      <w:r w:rsidR="00B60E71" w:rsidRPr="009F32DC">
        <w:rPr>
          <w:rFonts w:ascii="Times New Roman" w:hAnsi="Times New Roman" w:cs="Times New Roman"/>
          <w:sz w:val="24"/>
          <w:szCs w:val="24"/>
        </w:rPr>
        <w:t xml:space="preserve">DOS DIREITOS DOS TRABALHADORES. </w:t>
      </w:r>
      <w:r w:rsidR="003B5565">
        <w:rPr>
          <w:rFonts w:ascii="Times New Roman" w:hAnsi="Times New Roman" w:cs="Times New Roman"/>
          <w:sz w:val="24"/>
          <w:szCs w:val="24"/>
        </w:rPr>
        <w:t xml:space="preserve">I - </w:t>
      </w:r>
      <w:r w:rsidR="002D3B47" w:rsidRPr="009F32DC">
        <w:rPr>
          <w:rFonts w:ascii="Times New Roman" w:hAnsi="Times New Roman" w:cs="Times New Roman"/>
          <w:sz w:val="24"/>
          <w:szCs w:val="24"/>
        </w:rPr>
        <w:t>A existência de regulamentação concorrencial no processo comum e no processo do trabalho</w:t>
      </w:r>
      <w:r w:rsidR="008A15B3" w:rsidRPr="009F32DC">
        <w:rPr>
          <w:rFonts w:ascii="Times New Roman" w:hAnsi="Times New Roman" w:cs="Times New Roman"/>
          <w:sz w:val="24"/>
          <w:szCs w:val="24"/>
        </w:rPr>
        <w:t xml:space="preserve">, associada à impenhorabilidade dos </w:t>
      </w:r>
      <w:r w:rsidR="003B5565">
        <w:rPr>
          <w:rFonts w:ascii="Times New Roman" w:hAnsi="Times New Roman" w:cs="Times New Roman"/>
          <w:sz w:val="24"/>
          <w:szCs w:val="24"/>
        </w:rPr>
        <w:t>direito</w:t>
      </w:r>
      <w:r w:rsidR="008A15B3" w:rsidRPr="009F32DC">
        <w:rPr>
          <w:rFonts w:ascii="Times New Roman" w:hAnsi="Times New Roman" w:cs="Times New Roman"/>
          <w:sz w:val="24"/>
          <w:szCs w:val="24"/>
        </w:rPr>
        <w:t xml:space="preserve">s trabalhistas (CPC, art. 833, IV) e à inviabilidade de compensação em relação a crédito não penhorável (CC, art. 373, </w:t>
      </w:r>
      <w:r w:rsidR="0058379A">
        <w:rPr>
          <w:rFonts w:ascii="Times New Roman" w:hAnsi="Times New Roman" w:cs="Times New Roman"/>
          <w:sz w:val="24"/>
          <w:szCs w:val="24"/>
        </w:rPr>
        <w:t>II</w:t>
      </w:r>
      <w:r w:rsidR="008A15B3" w:rsidRPr="009F32DC">
        <w:rPr>
          <w:rFonts w:ascii="Times New Roman" w:hAnsi="Times New Roman" w:cs="Times New Roman"/>
          <w:sz w:val="24"/>
          <w:szCs w:val="24"/>
        </w:rPr>
        <w:t>I),</w:t>
      </w:r>
      <w:r w:rsidR="002D3B47" w:rsidRPr="009F32DC">
        <w:rPr>
          <w:rFonts w:ascii="Times New Roman" w:hAnsi="Times New Roman" w:cs="Times New Roman"/>
          <w:sz w:val="24"/>
          <w:szCs w:val="24"/>
        </w:rPr>
        <w:t xml:space="preserve"> imp</w:t>
      </w:r>
      <w:r w:rsidR="00871F93">
        <w:rPr>
          <w:rFonts w:ascii="Times New Roman" w:hAnsi="Times New Roman" w:cs="Times New Roman"/>
          <w:sz w:val="24"/>
          <w:szCs w:val="24"/>
        </w:rPr>
        <w:t>orta</w:t>
      </w:r>
      <w:r w:rsidR="002D3B47" w:rsidRPr="009F32DC">
        <w:rPr>
          <w:rFonts w:ascii="Times New Roman" w:hAnsi="Times New Roman" w:cs="Times New Roman"/>
          <w:sz w:val="24"/>
          <w:szCs w:val="24"/>
        </w:rPr>
        <w:t xml:space="preserve"> a aplicação da </w:t>
      </w:r>
      <w:r w:rsidR="00B60E71" w:rsidRPr="009F32DC">
        <w:rPr>
          <w:rFonts w:ascii="Times New Roman" w:hAnsi="Times New Roman" w:cs="Times New Roman"/>
          <w:sz w:val="24"/>
          <w:szCs w:val="24"/>
        </w:rPr>
        <w:t xml:space="preserve">norma </w:t>
      </w:r>
      <w:r w:rsidR="002D3B47" w:rsidRPr="009F32DC">
        <w:rPr>
          <w:rFonts w:ascii="Times New Roman" w:hAnsi="Times New Roman" w:cs="Times New Roman"/>
          <w:sz w:val="24"/>
          <w:szCs w:val="24"/>
        </w:rPr>
        <w:t xml:space="preserve">mais apta para </w:t>
      </w:r>
      <w:r w:rsidR="00B60E71" w:rsidRPr="009F32DC">
        <w:rPr>
          <w:rFonts w:ascii="Times New Roman" w:hAnsi="Times New Roman" w:cs="Times New Roman"/>
          <w:sz w:val="24"/>
          <w:szCs w:val="24"/>
        </w:rPr>
        <w:t>a tutela dos direitos dos trabalhadores</w:t>
      </w:r>
      <w:r w:rsidR="002D3B47" w:rsidRPr="009F32DC">
        <w:rPr>
          <w:rFonts w:ascii="Times New Roman" w:hAnsi="Times New Roman" w:cs="Times New Roman"/>
          <w:sz w:val="24"/>
          <w:szCs w:val="24"/>
        </w:rPr>
        <w:t xml:space="preserve">. </w:t>
      </w:r>
      <w:r w:rsidR="003B5565">
        <w:rPr>
          <w:rFonts w:ascii="Times New Roman" w:hAnsi="Times New Roman" w:cs="Times New Roman"/>
          <w:sz w:val="24"/>
          <w:szCs w:val="24"/>
        </w:rPr>
        <w:t xml:space="preserve">II - </w:t>
      </w:r>
      <w:r w:rsidR="00B0279F" w:rsidRPr="009F32DC">
        <w:rPr>
          <w:rFonts w:ascii="Times New Roman" w:hAnsi="Times New Roman" w:cs="Times New Roman"/>
          <w:sz w:val="24"/>
          <w:szCs w:val="24"/>
        </w:rPr>
        <w:t xml:space="preserve">Afasta-se a </w:t>
      </w:r>
      <w:r w:rsidR="00B0279F">
        <w:rPr>
          <w:rFonts w:ascii="Times New Roman" w:hAnsi="Times New Roman" w:cs="Times New Roman"/>
          <w:sz w:val="24"/>
          <w:szCs w:val="24"/>
        </w:rPr>
        <w:t>incidência</w:t>
      </w:r>
      <w:r w:rsidR="00B0279F" w:rsidRPr="009F32DC">
        <w:rPr>
          <w:rFonts w:ascii="Times New Roman" w:hAnsi="Times New Roman" w:cs="Times New Roman"/>
          <w:sz w:val="24"/>
          <w:szCs w:val="24"/>
        </w:rPr>
        <w:t xml:space="preserve"> do § 3º do art. 791-A da CLT em favor da </w:t>
      </w:r>
      <w:r w:rsidR="00B0279F">
        <w:rPr>
          <w:rFonts w:ascii="Times New Roman" w:hAnsi="Times New Roman" w:cs="Times New Roman"/>
          <w:sz w:val="24"/>
          <w:szCs w:val="24"/>
        </w:rPr>
        <w:t xml:space="preserve">aplicação </w:t>
      </w:r>
      <w:r w:rsidR="00B0279F" w:rsidRPr="009F32DC">
        <w:rPr>
          <w:rFonts w:ascii="Times New Roman" w:hAnsi="Times New Roman" w:cs="Times New Roman"/>
          <w:sz w:val="24"/>
          <w:szCs w:val="24"/>
        </w:rPr>
        <w:t xml:space="preserve">do </w:t>
      </w:r>
      <w:r w:rsidR="00B0279F" w:rsidRPr="009F32DC">
        <w:rPr>
          <w:rFonts w:ascii="Times New Roman" w:hAnsi="Times New Roman" w:cs="Times New Roman"/>
          <w:sz w:val="24"/>
          <w:szCs w:val="24"/>
          <w:lang w:eastAsia="pt-BR"/>
        </w:rPr>
        <w:t xml:space="preserve">art. 98, </w:t>
      </w:r>
      <w:r w:rsidR="00B0279F" w:rsidRPr="009F32DC">
        <w:rPr>
          <w:rFonts w:ascii="Times New Roman" w:hAnsi="Times New Roman" w:cs="Times New Roman"/>
          <w:sz w:val="24"/>
          <w:szCs w:val="24"/>
        </w:rPr>
        <w:t xml:space="preserve">§ 3º, do CPC, </w:t>
      </w:r>
      <w:r w:rsidR="00B0279F">
        <w:rPr>
          <w:rFonts w:ascii="Times New Roman" w:hAnsi="Times New Roman" w:cs="Times New Roman"/>
          <w:sz w:val="24"/>
          <w:szCs w:val="24"/>
        </w:rPr>
        <w:t xml:space="preserve">em decorrência da aplicação subsidiária, justificada pela configuração de lacuna axiológica (CLT, art. 769), </w:t>
      </w:r>
      <w:r w:rsidR="00B0279F" w:rsidRPr="009F32DC">
        <w:rPr>
          <w:rFonts w:ascii="Times New Roman" w:hAnsi="Times New Roman" w:cs="Times New Roman"/>
          <w:sz w:val="24"/>
          <w:szCs w:val="24"/>
        </w:rPr>
        <w:t>o que obsta a compensação, desconto ou dedução dos honorários advocatícios sucumbenciais do</w:t>
      </w:r>
      <w:r w:rsidR="0058379A">
        <w:rPr>
          <w:rFonts w:ascii="Times New Roman" w:hAnsi="Times New Roman" w:cs="Times New Roman"/>
          <w:sz w:val="24"/>
          <w:szCs w:val="24"/>
        </w:rPr>
        <w:t>s</w:t>
      </w:r>
      <w:r w:rsidR="00B0279F" w:rsidRPr="009F32DC">
        <w:rPr>
          <w:rFonts w:ascii="Times New Roman" w:hAnsi="Times New Roman" w:cs="Times New Roman"/>
          <w:sz w:val="24"/>
          <w:szCs w:val="24"/>
        </w:rPr>
        <w:t xml:space="preserve"> crédito</w:t>
      </w:r>
      <w:r w:rsidR="0058379A">
        <w:rPr>
          <w:rFonts w:ascii="Times New Roman" w:hAnsi="Times New Roman" w:cs="Times New Roman"/>
          <w:sz w:val="24"/>
          <w:szCs w:val="24"/>
        </w:rPr>
        <w:t>s</w:t>
      </w:r>
      <w:r w:rsidR="00B0279F" w:rsidRPr="009F32DC">
        <w:rPr>
          <w:rFonts w:ascii="Times New Roman" w:hAnsi="Times New Roman" w:cs="Times New Roman"/>
          <w:sz w:val="24"/>
          <w:szCs w:val="24"/>
        </w:rPr>
        <w:t xml:space="preserve"> obtido</w:t>
      </w:r>
      <w:r w:rsidR="0058379A">
        <w:rPr>
          <w:rFonts w:ascii="Times New Roman" w:hAnsi="Times New Roman" w:cs="Times New Roman"/>
          <w:sz w:val="24"/>
          <w:szCs w:val="24"/>
        </w:rPr>
        <w:t>s</w:t>
      </w:r>
      <w:r w:rsidR="00B0279F" w:rsidRPr="009F32DC">
        <w:rPr>
          <w:rFonts w:ascii="Times New Roman" w:hAnsi="Times New Roman" w:cs="Times New Roman"/>
          <w:sz w:val="24"/>
          <w:szCs w:val="24"/>
        </w:rPr>
        <w:t xml:space="preserve"> pelo trabalhador em juízo. </w:t>
      </w:r>
    </w:p>
    <w:p w:rsidR="00B60E71" w:rsidRPr="009F32DC" w:rsidRDefault="00B60E71" w:rsidP="00B60E71">
      <w:pPr>
        <w:pStyle w:val="Textodenotaderoda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99C" w:rsidRPr="009F32DC" w:rsidRDefault="004F399C" w:rsidP="008A15B3">
      <w:pPr>
        <w:pStyle w:val="Textodenotaderodap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2DC">
        <w:rPr>
          <w:rFonts w:ascii="Times New Roman" w:hAnsi="Times New Roman" w:cs="Times New Roman"/>
          <w:b/>
          <w:bCs/>
          <w:sz w:val="24"/>
          <w:szCs w:val="24"/>
        </w:rPr>
        <w:t>AUTOR: ARNALDO BOSON PAES</w:t>
      </w:r>
      <w:r w:rsidR="00EB0B3D" w:rsidRPr="009F32DC">
        <w:rPr>
          <w:rFonts w:ascii="Times New Roman" w:hAnsi="Times New Roman" w:cs="Times New Roman"/>
          <w:b/>
          <w:bCs/>
          <w:sz w:val="24"/>
          <w:szCs w:val="24"/>
        </w:rPr>
        <w:t>, AMATRA XXII, DESEMBARGADOR/TRT/22</w:t>
      </w:r>
    </w:p>
    <w:p w:rsidR="004F399C" w:rsidRPr="009F32DC" w:rsidRDefault="004F399C" w:rsidP="00940DEA">
      <w:pPr>
        <w:pStyle w:val="NormalWeb"/>
        <w:spacing w:after="200" w:afterAutospacing="0" w:line="276" w:lineRule="auto"/>
        <w:jc w:val="center"/>
        <w:rPr>
          <w:b/>
          <w:bCs/>
          <w:u w:val="single"/>
        </w:rPr>
      </w:pPr>
      <w:r w:rsidRPr="009F32DC">
        <w:rPr>
          <w:b/>
          <w:bCs/>
          <w:u w:val="single"/>
        </w:rPr>
        <w:t>JUSTIFICATIVA</w:t>
      </w:r>
    </w:p>
    <w:p w:rsidR="008375E9" w:rsidRPr="009F32DC" w:rsidRDefault="004F399C" w:rsidP="00940DEA">
      <w:pPr>
        <w:pStyle w:val="NormalWeb"/>
        <w:spacing w:after="200" w:afterAutospacing="0" w:line="276" w:lineRule="auto"/>
        <w:ind w:firstLine="567"/>
        <w:jc w:val="both"/>
      </w:pPr>
      <w:r w:rsidRPr="009F32DC">
        <w:t>A Lei nº 13.467/201</w:t>
      </w:r>
      <w:r w:rsidR="002D1434">
        <w:t>7</w:t>
      </w:r>
      <w:r w:rsidRPr="009F32DC">
        <w:t xml:space="preserve">, </w:t>
      </w:r>
      <w:r w:rsidR="006A6A5F" w:rsidRPr="009F32DC">
        <w:t>a</w:t>
      </w:r>
      <w:r w:rsidR="008375E9" w:rsidRPr="009F32DC">
        <w:t xml:space="preserve"> </w:t>
      </w:r>
      <w:r w:rsidR="006A4A23" w:rsidRPr="009F32DC">
        <w:t xml:space="preserve">Lei da </w:t>
      </w:r>
      <w:r w:rsidR="00931510" w:rsidRPr="009F32DC">
        <w:t>R</w:t>
      </w:r>
      <w:r w:rsidR="008375E9" w:rsidRPr="009F32DC">
        <w:t xml:space="preserve">eforma </w:t>
      </w:r>
      <w:r w:rsidR="009F2B70" w:rsidRPr="009F32DC">
        <w:t>T</w:t>
      </w:r>
      <w:r w:rsidR="008375E9" w:rsidRPr="009F32DC">
        <w:t xml:space="preserve">rabalhista, por meio da introdução do art. 791-A na Consolidação das Leis do Trabalho (DL nº 5.452/1943), alterou substancialmente o regime de incidência de honorários advocatícios na Justiça do Trabalho. </w:t>
      </w:r>
    </w:p>
    <w:p w:rsidR="0047774C" w:rsidRPr="009F32DC" w:rsidRDefault="006A6A5F" w:rsidP="00940DEA">
      <w:pPr>
        <w:pStyle w:val="NormalWeb"/>
        <w:spacing w:line="276" w:lineRule="auto"/>
        <w:ind w:firstLine="567"/>
        <w:jc w:val="both"/>
      </w:pPr>
      <w:r w:rsidRPr="009F32DC">
        <w:t>P</w:t>
      </w:r>
      <w:r w:rsidR="0047774C" w:rsidRPr="009F32DC">
        <w:t xml:space="preserve">ela redação do art. 791-A, </w:t>
      </w:r>
      <w:r w:rsidR="0039234D" w:rsidRPr="009F32DC">
        <w:t xml:space="preserve">com o seu </w:t>
      </w:r>
      <w:r w:rsidR="0047774C" w:rsidRPr="009F32DC">
        <w:rPr>
          <w:i/>
        </w:rPr>
        <w:t>caput</w:t>
      </w:r>
      <w:r w:rsidR="0039234D" w:rsidRPr="009F32DC">
        <w:rPr>
          <w:i/>
        </w:rPr>
        <w:t xml:space="preserve"> </w:t>
      </w:r>
      <w:r w:rsidR="0039234D" w:rsidRPr="009F32DC">
        <w:t>e os §§ 1º até 4º</w:t>
      </w:r>
      <w:r w:rsidR="0047774C" w:rsidRPr="009F32DC">
        <w:rPr>
          <w:i/>
        </w:rPr>
        <w:t xml:space="preserve">, </w:t>
      </w:r>
      <w:r w:rsidR="0047774C" w:rsidRPr="009F32DC">
        <w:t>da CLT, a condenação em honorários advocatícios no processo do trabalho pass</w:t>
      </w:r>
      <w:r w:rsidR="00664FD7" w:rsidRPr="009F32DC">
        <w:t>ou</w:t>
      </w:r>
      <w:r w:rsidR="0047774C" w:rsidRPr="009F32DC">
        <w:t xml:space="preserve"> </w:t>
      </w:r>
      <w:r w:rsidR="007E1750" w:rsidRPr="009F32DC">
        <w:t xml:space="preserve">genericamente </w:t>
      </w:r>
      <w:r w:rsidR="0047774C" w:rsidRPr="009F32DC">
        <w:t>a decorrer da mera sucumbência, pelo fato objetivo da derrota da parte</w:t>
      </w:r>
      <w:r w:rsidR="008F181A" w:rsidRPr="009F32DC">
        <w:t>, simples derivação do princípio da causalidade</w:t>
      </w:r>
      <w:r w:rsidR="0047774C" w:rsidRPr="009F32DC">
        <w:t>.</w:t>
      </w:r>
    </w:p>
    <w:p w:rsidR="008F181A" w:rsidRPr="009F32DC" w:rsidRDefault="008F181A" w:rsidP="00940DEA">
      <w:pPr>
        <w:pStyle w:val="NormalWeb"/>
        <w:spacing w:line="276" w:lineRule="auto"/>
        <w:ind w:firstLine="567"/>
        <w:jc w:val="both"/>
      </w:pPr>
      <w:r w:rsidRPr="009F32DC">
        <w:t xml:space="preserve">O § 3º do art. 791-A da CLT pretende instituir a sucumbência recíproca, dispondo que “na hipótese de sucumbência recíproca, o juízo arbitrará os honorários de sucumbência recíproca, vedada a compensação entre os honorários”.  </w:t>
      </w:r>
    </w:p>
    <w:p w:rsidR="0047774C" w:rsidRPr="009F32DC" w:rsidRDefault="008F181A" w:rsidP="00940DEA">
      <w:pPr>
        <w:pStyle w:val="NormalWeb"/>
        <w:spacing w:line="276" w:lineRule="auto"/>
        <w:ind w:firstLine="567"/>
        <w:jc w:val="both"/>
      </w:pPr>
      <w:r w:rsidRPr="009F32DC">
        <w:t>Pela</w:t>
      </w:r>
      <w:r w:rsidR="006A4A23" w:rsidRPr="009F32DC">
        <w:t xml:space="preserve"> literalidade </w:t>
      </w:r>
      <w:r w:rsidRPr="009F32DC">
        <w:t xml:space="preserve">do § </w:t>
      </w:r>
      <w:r w:rsidR="00F70EF7" w:rsidRPr="009F32DC">
        <w:t>3</w:t>
      </w:r>
      <w:r w:rsidRPr="009F32DC">
        <w:t>º</w:t>
      </w:r>
      <w:r w:rsidRPr="009F32DC">
        <w:rPr>
          <w:i/>
        </w:rPr>
        <w:t xml:space="preserve">, </w:t>
      </w:r>
      <w:r w:rsidRPr="009F32DC">
        <w:t xml:space="preserve">a condenação alcançaria até mesmo o beneficiário da assistência judiciária gratuita, </w:t>
      </w:r>
      <w:r w:rsidR="000D7BA1" w:rsidRPr="009F32DC">
        <w:t xml:space="preserve">hipótese em que </w:t>
      </w:r>
      <w:r w:rsidRPr="009F32DC">
        <w:t xml:space="preserve">os créditos obtidos em juízo poderiam ser objeto de compensação, desconto ou dedução para quitação dos honorários advocatícios devidos por eventual sucumbência recíproca. </w:t>
      </w:r>
    </w:p>
    <w:p w:rsidR="00F70EF7" w:rsidRPr="009F32DC" w:rsidRDefault="00F70EF7" w:rsidP="00940DEA">
      <w:pPr>
        <w:pStyle w:val="NormalWeb"/>
        <w:spacing w:line="276" w:lineRule="auto"/>
        <w:ind w:firstLine="567"/>
        <w:jc w:val="both"/>
      </w:pPr>
      <w:r w:rsidRPr="009F32DC">
        <w:lastRenderedPageBreak/>
        <w:t>Consta do precep</w:t>
      </w:r>
      <w:r w:rsidR="002D1434">
        <w:t>tivo que “v</w:t>
      </w:r>
      <w:r w:rsidRPr="009F32DC">
        <w:t>encido o beneficiário da justiça gratuita, desde que não tenha obtido em juízo, ainda que em outro processo, créditos capazes de suportar a despesa, as obrigações decorrentes de sua sucumbência ficarão sob condição suspensiva de exigibilidade e somente poderão ser executadas se, nos dois anos subsequentes ao trânsito em julgado da decisão que as certificou, o credor demonstrar que deixou de existir a situação de insuficiência de recursos que justificou a concessão de gratuidade, extinguindo-se, passado esse prazo, tais obrigações do beneficiário”</w:t>
      </w:r>
      <w:r w:rsidR="002D1434">
        <w:t>.</w:t>
      </w:r>
    </w:p>
    <w:p w:rsidR="009F6E8A" w:rsidRPr="009F32DC" w:rsidRDefault="00837F0D" w:rsidP="00940DEA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DC">
        <w:rPr>
          <w:rFonts w:ascii="Times New Roman" w:hAnsi="Times New Roman" w:cs="Times New Roman"/>
          <w:sz w:val="24"/>
          <w:szCs w:val="24"/>
          <w:lang w:eastAsia="pt-BR"/>
        </w:rPr>
        <w:t xml:space="preserve">O CPC, no art. 98, </w:t>
      </w:r>
      <w:r w:rsidRPr="009F32DC">
        <w:rPr>
          <w:rFonts w:ascii="Times New Roman" w:hAnsi="Times New Roman" w:cs="Times New Roman"/>
          <w:sz w:val="24"/>
          <w:szCs w:val="24"/>
        </w:rPr>
        <w:t>§ 3º, ao trata</w:t>
      </w:r>
      <w:r w:rsidR="00650F6F" w:rsidRPr="009F32DC">
        <w:rPr>
          <w:rFonts w:ascii="Times New Roman" w:hAnsi="Times New Roman" w:cs="Times New Roman"/>
          <w:sz w:val="24"/>
          <w:szCs w:val="24"/>
        </w:rPr>
        <w:t>r</w:t>
      </w:r>
      <w:r w:rsidRPr="009F32DC">
        <w:rPr>
          <w:rFonts w:ascii="Times New Roman" w:hAnsi="Times New Roman" w:cs="Times New Roman"/>
          <w:sz w:val="24"/>
          <w:szCs w:val="24"/>
        </w:rPr>
        <w:t xml:space="preserve"> dos honorários sucumbenciais devidos pelo beneficiário da justiça gratuita, adota tratamento bem distinto do conferido pela Lei nº 13.467/2017, não cogitando da</w:t>
      </w:r>
      <w:r w:rsidR="002D3B47" w:rsidRPr="009F32DC">
        <w:rPr>
          <w:rFonts w:ascii="Times New Roman" w:hAnsi="Times New Roman" w:cs="Times New Roman"/>
          <w:sz w:val="24"/>
          <w:szCs w:val="24"/>
        </w:rPr>
        <w:t>s</w:t>
      </w:r>
      <w:r w:rsidRPr="009F32DC">
        <w:rPr>
          <w:rFonts w:ascii="Times New Roman" w:hAnsi="Times New Roman" w:cs="Times New Roman"/>
          <w:sz w:val="24"/>
          <w:szCs w:val="24"/>
        </w:rPr>
        <w:t xml:space="preserve"> hipótese</w:t>
      </w:r>
      <w:r w:rsidR="002D3B47" w:rsidRPr="009F32DC">
        <w:rPr>
          <w:rFonts w:ascii="Times New Roman" w:hAnsi="Times New Roman" w:cs="Times New Roman"/>
          <w:sz w:val="24"/>
          <w:szCs w:val="24"/>
        </w:rPr>
        <w:t>s</w:t>
      </w:r>
      <w:r w:rsidRPr="009F32DC">
        <w:rPr>
          <w:rFonts w:ascii="Times New Roman" w:hAnsi="Times New Roman" w:cs="Times New Roman"/>
          <w:sz w:val="24"/>
          <w:szCs w:val="24"/>
        </w:rPr>
        <w:t xml:space="preserve"> de compensação, desconto ou dedução.</w:t>
      </w:r>
    </w:p>
    <w:p w:rsidR="00837F0D" w:rsidRPr="009F32DC" w:rsidRDefault="00837F0D" w:rsidP="00940DEA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7F0D" w:rsidRPr="009F32DC" w:rsidRDefault="00837F0D" w:rsidP="00940DEA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DC">
        <w:rPr>
          <w:rFonts w:ascii="Times New Roman" w:hAnsi="Times New Roman" w:cs="Times New Roman"/>
          <w:sz w:val="24"/>
          <w:szCs w:val="24"/>
        </w:rPr>
        <w:t xml:space="preserve">O processo comum prevê </w:t>
      </w:r>
      <w:r w:rsidR="00CC3C27" w:rsidRPr="009F32DC">
        <w:rPr>
          <w:rFonts w:ascii="Times New Roman" w:hAnsi="Times New Roman" w:cs="Times New Roman"/>
          <w:sz w:val="24"/>
          <w:szCs w:val="24"/>
        </w:rPr>
        <w:t>apenas</w:t>
      </w:r>
      <w:r w:rsidR="002D1434">
        <w:rPr>
          <w:rFonts w:ascii="Times New Roman" w:hAnsi="Times New Roman" w:cs="Times New Roman"/>
          <w:sz w:val="24"/>
          <w:szCs w:val="24"/>
        </w:rPr>
        <w:t xml:space="preserve"> que “v</w:t>
      </w:r>
      <w:r w:rsidRPr="009F32DC">
        <w:rPr>
          <w:rFonts w:ascii="Times New Roman" w:hAnsi="Times New Roman" w:cs="Times New Roman"/>
          <w:sz w:val="24"/>
          <w:szCs w:val="24"/>
        </w:rPr>
        <w:t>encido o beneficiário, as obrigações decorrentes de sua sucumbência ficarão sob condição suspensiva de exigibilidade e somente poderão ser executadas se, nos 5 (cinco) anos subsequentes ao trânsito em julgado da decisão que as certificou, o credor demonstrar que deixou de existir a situação de insuficiência de recursos que justificou a concessão de gratuidade, extinguindo-se, passado esse prazo, tais obrigações do beneficiá</w:t>
      </w:r>
      <w:r w:rsidR="002D1434">
        <w:rPr>
          <w:rFonts w:ascii="Times New Roman" w:hAnsi="Times New Roman" w:cs="Times New Roman"/>
          <w:sz w:val="24"/>
          <w:szCs w:val="24"/>
        </w:rPr>
        <w:t>rio</w:t>
      </w:r>
      <w:r w:rsidRPr="009F32DC">
        <w:rPr>
          <w:rFonts w:ascii="Times New Roman" w:hAnsi="Times New Roman" w:cs="Times New Roman"/>
          <w:sz w:val="24"/>
          <w:szCs w:val="24"/>
        </w:rPr>
        <w:t>”</w:t>
      </w:r>
      <w:r w:rsidR="002D1434">
        <w:rPr>
          <w:rFonts w:ascii="Times New Roman" w:hAnsi="Times New Roman" w:cs="Times New Roman"/>
          <w:sz w:val="24"/>
          <w:szCs w:val="24"/>
        </w:rPr>
        <w:t>.</w:t>
      </w:r>
    </w:p>
    <w:p w:rsidR="00837F0D" w:rsidRPr="009F32DC" w:rsidRDefault="00837F0D" w:rsidP="00940DEA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4A23" w:rsidRPr="009F32DC" w:rsidRDefault="00066C7C" w:rsidP="00940DEA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DC">
        <w:rPr>
          <w:rFonts w:ascii="Times New Roman" w:hAnsi="Times New Roman" w:cs="Times New Roman"/>
          <w:sz w:val="24"/>
          <w:szCs w:val="24"/>
          <w:lang w:eastAsia="pt-BR"/>
        </w:rPr>
        <w:t>O paradigma</w:t>
      </w:r>
      <w:r w:rsidR="00650F6F" w:rsidRPr="009F32DC">
        <w:rPr>
          <w:rFonts w:ascii="Times New Roman" w:hAnsi="Times New Roman" w:cs="Times New Roman"/>
          <w:sz w:val="24"/>
          <w:szCs w:val="24"/>
          <w:lang w:eastAsia="pt-BR"/>
        </w:rPr>
        <w:t xml:space="preserve"> d</w:t>
      </w:r>
      <w:r w:rsidR="00C91231" w:rsidRPr="009F32DC">
        <w:rPr>
          <w:rFonts w:ascii="Times New Roman" w:hAnsi="Times New Roman" w:cs="Times New Roman"/>
          <w:sz w:val="24"/>
          <w:szCs w:val="24"/>
          <w:lang w:eastAsia="pt-BR"/>
        </w:rPr>
        <w:t xml:space="preserve">o processo comum implica maior tutela </w:t>
      </w:r>
      <w:r w:rsidR="00F023C8" w:rsidRPr="009F32DC">
        <w:rPr>
          <w:rFonts w:ascii="Times New Roman" w:hAnsi="Times New Roman" w:cs="Times New Roman"/>
          <w:sz w:val="24"/>
          <w:szCs w:val="24"/>
          <w:lang w:eastAsia="pt-BR"/>
        </w:rPr>
        <w:t xml:space="preserve">jurídica </w:t>
      </w:r>
      <w:r w:rsidR="00650F6F" w:rsidRPr="009F32DC">
        <w:rPr>
          <w:rFonts w:ascii="Times New Roman" w:hAnsi="Times New Roman" w:cs="Times New Roman"/>
          <w:sz w:val="24"/>
          <w:szCs w:val="24"/>
          <w:lang w:eastAsia="pt-BR"/>
        </w:rPr>
        <w:t xml:space="preserve">ao </w:t>
      </w:r>
      <w:r w:rsidR="000242AE" w:rsidRPr="009F32DC">
        <w:rPr>
          <w:rFonts w:ascii="Times New Roman" w:hAnsi="Times New Roman" w:cs="Times New Roman"/>
          <w:sz w:val="24"/>
          <w:szCs w:val="24"/>
          <w:lang w:eastAsia="pt-BR"/>
        </w:rPr>
        <w:t xml:space="preserve">beneficiário da justiça gratuita do que a </w:t>
      </w:r>
      <w:r w:rsidR="006A4A23" w:rsidRPr="009F32DC">
        <w:rPr>
          <w:rFonts w:ascii="Times New Roman" w:hAnsi="Times New Roman" w:cs="Times New Roman"/>
          <w:sz w:val="24"/>
          <w:szCs w:val="24"/>
          <w:lang w:eastAsia="pt-BR"/>
        </w:rPr>
        <w:t xml:space="preserve">solução </w:t>
      </w:r>
      <w:r w:rsidR="00CC3C27" w:rsidRPr="009F32DC">
        <w:rPr>
          <w:rFonts w:ascii="Times New Roman" w:hAnsi="Times New Roman" w:cs="Times New Roman"/>
          <w:sz w:val="24"/>
          <w:szCs w:val="24"/>
          <w:lang w:eastAsia="pt-BR"/>
        </w:rPr>
        <w:t>prevista n</w:t>
      </w:r>
      <w:r w:rsidR="000242AE" w:rsidRPr="009F32DC">
        <w:rPr>
          <w:rFonts w:ascii="Times New Roman" w:hAnsi="Times New Roman" w:cs="Times New Roman"/>
          <w:sz w:val="24"/>
          <w:szCs w:val="24"/>
          <w:lang w:eastAsia="pt-BR"/>
        </w:rPr>
        <w:t xml:space="preserve">o </w:t>
      </w:r>
      <w:r w:rsidR="00C91231" w:rsidRPr="009F32DC">
        <w:rPr>
          <w:rFonts w:ascii="Times New Roman" w:hAnsi="Times New Roman" w:cs="Times New Roman"/>
          <w:sz w:val="24"/>
          <w:szCs w:val="24"/>
        </w:rPr>
        <w:t>§ 3º do art. 791-A da CLT</w:t>
      </w:r>
      <w:r w:rsidR="006A4A23" w:rsidRPr="009F32DC">
        <w:rPr>
          <w:rFonts w:ascii="Times New Roman" w:hAnsi="Times New Roman" w:cs="Times New Roman"/>
          <w:sz w:val="24"/>
          <w:szCs w:val="24"/>
        </w:rPr>
        <w:t xml:space="preserve">, configurando </w:t>
      </w:r>
      <w:r w:rsidR="00C91231" w:rsidRPr="009F32DC">
        <w:rPr>
          <w:rFonts w:ascii="Times New Roman" w:hAnsi="Times New Roman" w:cs="Times New Roman"/>
          <w:sz w:val="24"/>
          <w:szCs w:val="24"/>
        </w:rPr>
        <w:t>uma situação paradoxal</w:t>
      </w:r>
      <w:r w:rsidR="00CC3C27" w:rsidRPr="009F32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4A23" w:rsidRPr="009F32DC" w:rsidRDefault="006A4A23" w:rsidP="00940DEA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3C8" w:rsidRPr="009F32DC" w:rsidRDefault="006A6A5F" w:rsidP="00940DEA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DC">
        <w:rPr>
          <w:rFonts w:ascii="Times New Roman" w:hAnsi="Times New Roman" w:cs="Times New Roman"/>
          <w:sz w:val="24"/>
          <w:szCs w:val="24"/>
        </w:rPr>
        <w:t xml:space="preserve">Isso porque o </w:t>
      </w:r>
      <w:r w:rsidR="00CC3C27" w:rsidRPr="009F32DC">
        <w:rPr>
          <w:rFonts w:ascii="Times New Roman" w:hAnsi="Times New Roman" w:cs="Times New Roman"/>
          <w:sz w:val="24"/>
          <w:szCs w:val="24"/>
        </w:rPr>
        <w:t>C</w:t>
      </w:r>
      <w:r w:rsidR="000242AE" w:rsidRPr="009F32DC">
        <w:rPr>
          <w:rFonts w:ascii="Times New Roman" w:hAnsi="Times New Roman" w:cs="Times New Roman"/>
          <w:sz w:val="24"/>
          <w:szCs w:val="24"/>
        </w:rPr>
        <w:t>PC</w:t>
      </w:r>
      <w:r w:rsidR="00CC3C27" w:rsidRPr="009F32DC">
        <w:rPr>
          <w:rFonts w:ascii="Times New Roman" w:hAnsi="Times New Roman" w:cs="Times New Roman"/>
          <w:sz w:val="24"/>
          <w:szCs w:val="24"/>
        </w:rPr>
        <w:t xml:space="preserve"> </w:t>
      </w:r>
      <w:r w:rsidR="00C91231" w:rsidRPr="009F32DC">
        <w:rPr>
          <w:rFonts w:ascii="Times New Roman" w:hAnsi="Times New Roman" w:cs="Times New Roman"/>
          <w:sz w:val="24"/>
          <w:szCs w:val="24"/>
        </w:rPr>
        <w:t>proporciona</w:t>
      </w:r>
      <w:r w:rsidR="00F023C8" w:rsidRPr="009F32DC">
        <w:rPr>
          <w:rFonts w:ascii="Times New Roman" w:hAnsi="Times New Roman" w:cs="Times New Roman"/>
          <w:sz w:val="24"/>
          <w:szCs w:val="24"/>
        </w:rPr>
        <w:t xml:space="preserve"> </w:t>
      </w:r>
      <w:r w:rsidR="00650F6F" w:rsidRPr="009F32DC">
        <w:rPr>
          <w:rFonts w:ascii="Times New Roman" w:hAnsi="Times New Roman" w:cs="Times New Roman"/>
          <w:sz w:val="24"/>
          <w:szCs w:val="24"/>
        </w:rPr>
        <w:t xml:space="preserve">solução mais </w:t>
      </w:r>
      <w:r w:rsidR="00F023C8" w:rsidRPr="009F32DC">
        <w:rPr>
          <w:rFonts w:ascii="Times New Roman" w:hAnsi="Times New Roman" w:cs="Times New Roman"/>
          <w:sz w:val="24"/>
          <w:szCs w:val="24"/>
        </w:rPr>
        <w:t>adequada</w:t>
      </w:r>
      <w:r w:rsidR="00392A8A">
        <w:rPr>
          <w:rFonts w:ascii="Times New Roman" w:hAnsi="Times New Roman" w:cs="Times New Roman"/>
          <w:sz w:val="24"/>
          <w:szCs w:val="24"/>
        </w:rPr>
        <w:t xml:space="preserve"> </w:t>
      </w:r>
      <w:r w:rsidR="000242AE" w:rsidRPr="009F32DC">
        <w:rPr>
          <w:rFonts w:ascii="Times New Roman" w:hAnsi="Times New Roman" w:cs="Times New Roman"/>
          <w:sz w:val="24"/>
          <w:szCs w:val="24"/>
        </w:rPr>
        <w:t xml:space="preserve">à </w:t>
      </w:r>
      <w:r w:rsidR="00F023C8" w:rsidRPr="009F32DC">
        <w:rPr>
          <w:rFonts w:ascii="Times New Roman" w:hAnsi="Times New Roman" w:cs="Times New Roman"/>
          <w:sz w:val="24"/>
          <w:szCs w:val="24"/>
        </w:rPr>
        <w:t xml:space="preserve">garantia da assistência judiciária </w:t>
      </w:r>
      <w:r w:rsidR="00CC3C27" w:rsidRPr="009F32DC">
        <w:rPr>
          <w:rFonts w:ascii="Times New Roman" w:hAnsi="Times New Roman" w:cs="Times New Roman"/>
          <w:sz w:val="24"/>
          <w:szCs w:val="24"/>
        </w:rPr>
        <w:t>do que a CLT, que pressupõe a superação</w:t>
      </w:r>
      <w:r w:rsidR="002D3B47" w:rsidRPr="009F32DC">
        <w:rPr>
          <w:rFonts w:ascii="Times New Roman" w:hAnsi="Times New Roman" w:cs="Times New Roman"/>
          <w:sz w:val="24"/>
          <w:szCs w:val="24"/>
        </w:rPr>
        <w:t>, por meio da criação de desigualdades jurídicas,</w:t>
      </w:r>
      <w:r w:rsidR="00CC3C27" w:rsidRPr="009F32DC">
        <w:rPr>
          <w:rFonts w:ascii="Times New Roman" w:hAnsi="Times New Roman" w:cs="Times New Roman"/>
          <w:sz w:val="24"/>
          <w:szCs w:val="24"/>
        </w:rPr>
        <w:t xml:space="preserve"> da assimetria </w:t>
      </w:r>
      <w:r w:rsidR="002D3B47" w:rsidRPr="009F32DC">
        <w:rPr>
          <w:rFonts w:ascii="Times New Roman" w:hAnsi="Times New Roman" w:cs="Times New Roman"/>
          <w:sz w:val="24"/>
          <w:szCs w:val="24"/>
        </w:rPr>
        <w:t xml:space="preserve">econômica </w:t>
      </w:r>
      <w:r w:rsidR="00CC3C27" w:rsidRPr="009F32DC">
        <w:rPr>
          <w:rFonts w:ascii="Times New Roman" w:hAnsi="Times New Roman" w:cs="Times New Roman"/>
          <w:sz w:val="24"/>
          <w:szCs w:val="24"/>
        </w:rPr>
        <w:t xml:space="preserve">existente entre </w:t>
      </w:r>
      <w:r w:rsidR="002D3B47" w:rsidRPr="009F32DC">
        <w:rPr>
          <w:rFonts w:ascii="Times New Roman" w:hAnsi="Times New Roman" w:cs="Times New Roman"/>
          <w:sz w:val="24"/>
          <w:szCs w:val="24"/>
        </w:rPr>
        <w:t>os sujeitos da relação de emprego</w:t>
      </w:r>
      <w:r w:rsidR="00CC3C27" w:rsidRPr="009F32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23C8" w:rsidRPr="009F32DC" w:rsidRDefault="00F023C8" w:rsidP="00940DEA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1360" w:rsidRPr="009F32DC" w:rsidRDefault="00D81360" w:rsidP="00940DEA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DC">
        <w:rPr>
          <w:rFonts w:ascii="Times New Roman" w:hAnsi="Times New Roman" w:cs="Times New Roman"/>
          <w:sz w:val="24"/>
          <w:szCs w:val="24"/>
        </w:rPr>
        <w:t xml:space="preserve">A literalidade da regra </w:t>
      </w:r>
      <w:r w:rsidR="009F32DC" w:rsidRPr="009F32DC">
        <w:rPr>
          <w:rFonts w:ascii="Times New Roman" w:hAnsi="Times New Roman" w:cs="Times New Roman"/>
          <w:sz w:val="24"/>
          <w:szCs w:val="24"/>
        </w:rPr>
        <w:t>do § 3º do art. 791-A da CLT</w:t>
      </w:r>
      <w:r w:rsidRPr="009F32DC">
        <w:rPr>
          <w:rFonts w:ascii="Times New Roman" w:hAnsi="Times New Roman" w:cs="Times New Roman"/>
          <w:sz w:val="24"/>
          <w:szCs w:val="24"/>
        </w:rPr>
        <w:t xml:space="preserve"> desconsidera a diversidade econômica dos sujeitos do processo, uma característica específica da relação jurídica trabalhista, instrumentalizada pelo processo do trabalho.</w:t>
      </w:r>
    </w:p>
    <w:p w:rsidR="00D81360" w:rsidRDefault="00D81360" w:rsidP="00940DEA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A7B" w:rsidRPr="001C6A7B" w:rsidRDefault="001C6A7B" w:rsidP="00940DEA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392A8A">
        <w:rPr>
          <w:rFonts w:ascii="Times New Roman" w:hAnsi="Times New Roman" w:cs="Times New Roman"/>
          <w:sz w:val="24"/>
          <w:szCs w:val="24"/>
        </w:rPr>
        <w:t>á aqui</w:t>
      </w:r>
      <w:r>
        <w:rPr>
          <w:rFonts w:ascii="Times New Roman" w:hAnsi="Times New Roman" w:cs="Times New Roman"/>
          <w:sz w:val="24"/>
          <w:szCs w:val="24"/>
        </w:rPr>
        <w:t xml:space="preserve"> dupla violação ao princípio da isonomia (CF,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art. 5º, </w:t>
      </w:r>
      <w:r>
        <w:rPr>
          <w:rFonts w:ascii="Times New Roman" w:hAnsi="Times New Roman" w:cs="Times New Roman"/>
          <w:i/>
          <w:sz w:val="24"/>
          <w:szCs w:val="24"/>
        </w:rPr>
        <w:t xml:space="preserve">caput). </w:t>
      </w:r>
      <w:r>
        <w:rPr>
          <w:rFonts w:ascii="Times New Roman" w:hAnsi="Times New Roman" w:cs="Times New Roman"/>
          <w:sz w:val="24"/>
          <w:szCs w:val="24"/>
        </w:rPr>
        <w:t xml:space="preserve">Primeiro, ao criar restrições maiores à </w:t>
      </w:r>
      <w:r w:rsidR="003B5565">
        <w:rPr>
          <w:rFonts w:ascii="Times New Roman" w:hAnsi="Times New Roman" w:cs="Times New Roman"/>
          <w:sz w:val="24"/>
          <w:szCs w:val="24"/>
        </w:rPr>
        <w:t xml:space="preserve">assistência </w:t>
      </w:r>
      <w:r>
        <w:rPr>
          <w:rFonts w:ascii="Times New Roman" w:hAnsi="Times New Roman" w:cs="Times New Roman"/>
          <w:sz w:val="24"/>
          <w:szCs w:val="24"/>
        </w:rPr>
        <w:t xml:space="preserve">judiciária na Justiça do Trabalho do que na Justiça Comum. Segundo, ao impor ao trabalhador o abatimento de honorários sucumbenciais sempre que auferir créditos em qualquer processo. </w:t>
      </w:r>
    </w:p>
    <w:p w:rsidR="001C6A7B" w:rsidRDefault="001C6A7B" w:rsidP="00940DEA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5565" w:rsidRDefault="003B5565" w:rsidP="00940DEA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quadro paradoxal, incompatível com o princípio isonômico, os cidadãos sem recursos gozam de amplo acesso à Justiça Comum para a defesa de seus direitos, inclusive para postular direitos essenciais à garantia de sua dignidade, como verbas alimentares.</w:t>
      </w:r>
    </w:p>
    <w:p w:rsidR="003B5565" w:rsidRDefault="003B5565" w:rsidP="00940DEA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5565" w:rsidRDefault="003B5565" w:rsidP="00940DEA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Os trabalhadores, carecedores de recursos, teriam obstruído seu acesso à Justiça do Trabalho, sendo compelidos a valer-se de verbas alimentares reconhecidas em juízo, essenciais ao </w:t>
      </w:r>
      <w:r w:rsidR="00392A8A">
        <w:rPr>
          <w:rFonts w:ascii="Times New Roman" w:hAnsi="Times New Roman" w:cs="Times New Roman"/>
          <w:sz w:val="24"/>
          <w:szCs w:val="24"/>
        </w:rPr>
        <w:t xml:space="preserve">seu </w:t>
      </w:r>
      <w:r>
        <w:rPr>
          <w:rFonts w:ascii="Times New Roman" w:hAnsi="Times New Roman" w:cs="Times New Roman"/>
          <w:sz w:val="24"/>
          <w:szCs w:val="24"/>
        </w:rPr>
        <w:t>sustento, para custear honorários sucumb</w:t>
      </w:r>
      <w:r w:rsidR="00392A8A">
        <w:rPr>
          <w:rFonts w:ascii="Times New Roman" w:hAnsi="Times New Roman" w:cs="Times New Roman"/>
          <w:sz w:val="24"/>
          <w:szCs w:val="24"/>
        </w:rPr>
        <w:t xml:space="preserve">enciais em decorrência do simples acolhimento parcial de suas pretensões. </w:t>
      </w:r>
    </w:p>
    <w:p w:rsidR="00691E0A" w:rsidRDefault="00691E0A" w:rsidP="00940DEA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1360" w:rsidRPr="009F32DC" w:rsidRDefault="00D81360" w:rsidP="00940DEA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DC">
        <w:rPr>
          <w:rFonts w:ascii="Times New Roman" w:hAnsi="Times New Roman" w:cs="Times New Roman"/>
          <w:sz w:val="24"/>
          <w:szCs w:val="24"/>
        </w:rPr>
        <w:t>Pesa ainda a intangibilidade dos créditos trabalhistas, que goza de especial proteção jurídica, seja contra os abusos do empregador, seja em relação aos credores do empregador, seja quan</w:t>
      </w:r>
      <w:r w:rsidR="0058379A">
        <w:rPr>
          <w:rFonts w:ascii="Times New Roman" w:hAnsi="Times New Roman" w:cs="Times New Roman"/>
          <w:sz w:val="24"/>
          <w:szCs w:val="24"/>
        </w:rPr>
        <w:t>t</w:t>
      </w:r>
      <w:r w:rsidRPr="009F32DC">
        <w:rPr>
          <w:rFonts w:ascii="Times New Roman" w:hAnsi="Times New Roman" w:cs="Times New Roman"/>
          <w:sz w:val="24"/>
          <w:szCs w:val="24"/>
        </w:rPr>
        <w:t>o aos credores do próprio trabalhador.</w:t>
      </w:r>
    </w:p>
    <w:p w:rsidR="00D81360" w:rsidRPr="009F32DC" w:rsidRDefault="00D81360" w:rsidP="00940DEA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1360" w:rsidRPr="009F32DC" w:rsidRDefault="00B11A10" w:rsidP="00940DEA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DC">
        <w:rPr>
          <w:rFonts w:ascii="Times New Roman" w:hAnsi="Times New Roman" w:cs="Times New Roman"/>
          <w:sz w:val="24"/>
          <w:szCs w:val="24"/>
        </w:rPr>
        <w:t xml:space="preserve">Além da impenhorabilidade </w:t>
      </w:r>
      <w:r w:rsidR="00D81360" w:rsidRPr="009F32DC">
        <w:rPr>
          <w:rFonts w:ascii="Times New Roman" w:hAnsi="Times New Roman" w:cs="Times New Roman"/>
          <w:sz w:val="24"/>
          <w:szCs w:val="24"/>
        </w:rPr>
        <w:t xml:space="preserve">dos </w:t>
      </w:r>
      <w:r w:rsidR="003B5565">
        <w:rPr>
          <w:rFonts w:ascii="Times New Roman" w:hAnsi="Times New Roman" w:cs="Times New Roman"/>
          <w:sz w:val="24"/>
          <w:szCs w:val="24"/>
        </w:rPr>
        <w:t>direito</w:t>
      </w:r>
      <w:r w:rsidR="00D81360" w:rsidRPr="009F32DC">
        <w:rPr>
          <w:rFonts w:ascii="Times New Roman" w:hAnsi="Times New Roman" w:cs="Times New Roman"/>
          <w:sz w:val="24"/>
          <w:szCs w:val="24"/>
        </w:rPr>
        <w:t>s trabalhistas</w:t>
      </w:r>
      <w:r w:rsidRPr="009F32DC">
        <w:rPr>
          <w:rFonts w:ascii="Times New Roman" w:hAnsi="Times New Roman" w:cs="Times New Roman"/>
          <w:sz w:val="24"/>
          <w:szCs w:val="24"/>
        </w:rPr>
        <w:t xml:space="preserve"> </w:t>
      </w:r>
      <w:r w:rsidR="00D81360" w:rsidRPr="009F32DC">
        <w:rPr>
          <w:rFonts w:ascii="Times New Roman" w:hAnsi="Times New Roman" w:cs="Times New Roman"/>
          <w:sz w:val="24"/>
          <w:szCs w:val="24"/>
        </w:rPr>
        <w:t>(CPC, art. 833, IV)</w:t>
      </w:r>
      <w:r w:rsidRPr="009F32DC">
        <w:rPr>
          <w:rFonts w:ascii="Times New Roman" w:hAnsi="Times New Roman" w:cs="Times New Roman"/>
          <w:sz w:val="24"/>
          <w:szCs w:val="24"/>
        </w:rPr>
        <w:t>, há impedimento legal de compensação quando se tratar de “coisa não suscetível de penhora</w:t>
      </w:r>
      <w:r w:rsidR="005F53F1" w:rsidRPr="009F32DC">
        <w:rPr>
          <w:rFonts w:ascii="Times New Roman" w:hAnsi="Times New Roman" w:cs="Times New Roman"/>
          <w:sz w:val="24"/>
          <w:szCs w:val="24"/>
        </w:rPr>
        <w:t>”</w:t>
      </w:r>
      <w:r w:rsidRPr="009F32DC">
        <w:rPr>
          <w:rFonts w:ascii="Times New Roman" w:hAnsi="Times New Roman" w:cs="Times New Roman"/>
          <w:sz w:val="24"/>
          <w:szCs w:val="24"/>
        </w:rPr>
        <w:t xml:space="preserve"> </w:t>
      </w:r>
      <w:r w:rsidR="00DF0545" w:rsidRPr="009F32DC">
        <w:rPr>
          <w:rFonts w:ascii="Times New Roman" w:hAnsi="Times New Roman" w:cs="Times New Roman"/>
          <w:sz w:val="24"/>
          <w:szCs w:val="24"/>
        </w:rPr>
        <w:t>(</w:t>
      </w:r>
      <w:r w:rsidRPr="009F32DC">
        <w:rPr>
          <w:rFonts w:ascii="Times New Roman" w:hAnsi="Times New Roman" w:cs="Times New Roman"/>
          <w:sz w:val="24"/>
          <w:szCs w:val="24"/>
        </w:rPr>
        <w:t>CC, art. 373, I</w:t>
      </w:r>
      <w:r w:rsidR="0058379A">
        <w:rPr>
          <w:rFonts w:ascii="Times New Roman" w:hAnsi="Times New Roman" w:cs="Times New Roman"/>
          <w:sz w:val="24"/>
          <w:szCs w:val="24"/>
        </w:rPr>
        <w:t>II</w:t>
      </w:r>
      <w:r w:rsidR="00DF0545" w:rsidRPr="009F32DC">
        <w:rPr>
          <w:rFonts w:ascii="Times New Roman" w:hAnsi="Times New Roman" w:cs="Times New Roman"/>
          <w:sz w:val="24"/>
          <w:szCs w:val="24"/>
        </w:rPr>
        <w:t>).</w:t>
      </w:r>
    </w:p>
    <w:p w:rsidR="00B11A10" w:rsidRPr="009F32DC" w:rsidRDefault="00B11A10" w:rsidP="00940DEA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1360" w:rsidRPr="009F32DC" w:rsidRDefault="002D3B47" w:rsidP="00940DEA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DC">
        <w:rPr>
          <w:rFonts w:ascii="Times New Roman" w:hAnsi="Times New Roman" w:cs="Times New Roman"/>
          <w:sz w:val="24"/>
          <w:szCs w:val="24"/>
        </w:rPr>
        <w:t>A</w:t>
      </w:r>
      <w:r w:rsidR="005F53F1" w:rsidRPr="009F32DC">
        <w:rPr>
          <w:rFonts w:ascii="Times New Roman" w:hAnsi="Times New Roman" w:cs="Times New Roman"/>
          <w:sz w:val="24"/>
          <w:szCs w:val="24"/>
        </w:rPr>
        <w:t xml:space="preserve"> </w:t>
      </w:r>
      <w:r w:rsidR="00F023C8" w:rsidRPr="009F32DC">
        <w:rPr>
          <w:rFonts w:ascii="Times New Roman" w:hAnsi="Times New Roman" w:cs="Times New Roman"/>
          <w:sz w:val="24"/>
          <w:szCs w:val="24"/>
        </w:rPr>
        <w:t>existência de regulamentação concorrencial no processo comum</w:t>
      </w:r>
      <w:r w:rsidR="000242AE" w:rsidRPr="009F32DC">
        <w:rPr>
          <w:rFonts w:ascii="Times New Roman" w:hAnsi="Times New Roman" w:cs="Times New Roman"/>
          <w:sz w:val="24"/>
          <w:szCs w:val="24"/>
        </w:rPr>
        <w:t xml:space="preserve"> e </w:t>
      </w:r>
      <w:r w:rsidR="00F023C8" w:rsidRPr="009F32DC">
        <w:rPr>
          <w:rFonts w:ascii="Times New Roman" w:hAnsi="Times New Roman" w:cs="Times New Roman"/>
          <w:sz w:val="24"/>
          <w:szCs w:val="24"/>
        </w:rPr>
        <w:t xml:space="preserve">no processo do trabalho </w:t>
      </w:r>
      <w:r w:rsidR="00691E0A">
        <w:rPr>
          <w:rFonts w:ascii="Times New Roman" w:hAnsi="Times New Roman" w:cs="Times New Roman"/>
          <w:sz w:val="24"/>
          <w:szCs w:val="24"/>
        </w:rPr>
        <w:t>importa</w:t>
      </w:r>
      <w:r w:rsidR="00F023C8" w:rsidRPr="009F32DC">
        <w:rPr>
          <w:rFonts w:ascii="Times New Roman" w:hAnsi="Times New Roman" w:cs="Times New Roman"/>
          <w:sz w:val="24"/>
          <w:szCs w:val="24"/>
        </w:rPr>
        <w:t xml:space="preserve"> </w:t>
      </w:r>
      <w:r w:rsidR="002D1434">
        <w:rPr>
          <w:rFonts w:ascii="Times New Roman" w:hAnsi="Times New Roman" w:cs="Times New Roman"/>
          <w:sz w:val="24"/>
          <w:szCs w:val="24"/>
        </w:rPr>
        <w:t>a</w:t>
      </w:r>
      <w:r w:rsidR="00F023C8" w:rsidRPr="009F32DC">
        <w:rPr>
          <w:rFonts w:ascii="Times New Roman" w:hAnsi="Times New Roman" w:cs="Times New Roman"/>
          <w:sz w:val="24"/>
          <w:szCs w:val="24"/>
        </w:rPr>
        <w:t xml:space="preserve"> aplicação da norma mais apta para disciplinar os conflitos de natureza laboral</w:t>
      </w:r>
      <w:r w:rsidR="009F32DC" w:rsidRPr="009F32DC">
        <w:rPr>
          <w:rFonts w:ascii="Times New Roman" w:hAnsi="Times New Roman" w:cs="Times New Roman"/>
          <w:sz w:val="24"/>
          <w:szCs w:val="24"/>
        </w:rPr>
        <w:t>, que leva em conta a maior tutela jurídica proporcionada aos direitos dos trabalhadores</w:t>
      </w:r>
      <w:r w:rsidR="000242AE" w:rsidRPr="009F32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360" w:rsidRPr="009F32DC" w:rsidRDefault="00D81360" w:rsidP="00940DEA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32DC" w:rsidRPr="009F32DC" w:rsidRDefault="009F32DC" w:rsidP="009F32DC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DC">
        <w:rPr>
          <w:rFonts w:ascii="Times New Roman" w:hAnsi="Times New Roman" w:cs="Times New Roman"/>
          <w:sz w:val="24"/>
          <w:szCs w:val="24"/>
        </w:rPr>
        <w:t xml:space="preserve">Nesse contexto,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F32DC">
        <w:rPr>
          <w:rFonts w:ascii="Times New Roman" w:hAnsi="Times New Roman" w:cs="Times New Roman"/>
          <w:sz w:val="24"/>
          <w:szCs w:val="24"/>
        </w:rPr>
        <w:t xml:space="preserve">fasta-se a </w:t>
      </w:r>
      <w:r>
        <w:rPr>
          <w:rFonts w:ascii="Times New Roman" w:hAnsi="Times New Roman" w:cs="Times New Roman"/>
          <w:sz w:val="24"/>
          <w:szCs w:val="24"/>
        </w:rPr>
        <w:t>incidência</w:t>
      </w:r>
      <w:r w:rsidRPr="009F32DC">
        <w:rPr>
          <w:rFonts w:ascii="Times New Roman" w:hAnsi="Times New Roman" w:cs="Times New Roman"/>
          <w:sz w:val="24"/>
          <w:szCs w:val="24"/>
        </w:rPr>
        <w:t xml:space="preserve"> do § 3º do art. 791-A da CLT em favor da </w:t>
      </w:r>
      <w:r>
        <w:rPr>
          <w:rFonts w:ascii="Times New Roman" w:hAnsi="Times New Roman" w:cs="Times New Roman"/>
          <w:sz w:val="24"/>
          <w:szCs w:val="24"/>
        </w:rPr>
        <w:t xml:space="preserve">aplicação </w:t>
      </w:r>
      <w:r w:rsidRPr="009F32DC">
        <w:rPr>
          <w:rFonts w:ascii="Times New Roman" w:hAnsi="Times New Roman" w:cs="Times New Roman"/>
          <w:sz w:val="24"/>
          <w:szCs w:val="24"/>
        </w:rPr>
        <w:t xml:space="preserve">do </w:t>
      </w:r>
      <w:r w:rsidRPr="009F32DC">
        <w:rPr>
          <w:rFonts w:ascii="Times New Roman" w:hAnsi="Times New Roman" w:cs="Times New Roman"/>
          <w:sz w:val="24"/>
          <w:szCs w:val="24"/>
          <w:lang w:eastAsia="pt-BR"/>
        </w:rPr>
        <w:t xml:space="preserve">art. 98, </w:t>
      </w:r>
      <w:r w:rsidRPr="009F32DC">
        <w:rPr>
          <w:rFonts w:ascii="Times New Roman" w:hAnsi="Times New Roman" w:cs="Times New Roman"/>
          <w:sz w:val="24"/>
          <w:szCs w:val="24"/>
        </w:rPr>
        <w:t xml:space="preserve">§ 3º, do CPC, </w:t>
      </w:r>
      <w:r>
        <w:rPr>
          <w:rFonts w:ascii="Times New Roman" w:hAnsi="Times New Roman" w:cs="Times New Roman"/>
          <w:sz w:val="24"/>
          <w:szCs w:val="24"/>
        </w:rPr>
        <w:t xml:space="preserve">em decorrência da aplicação subsidiária, justificada pela configuração de lacuna axiológica (CLT, art. 769), </w:t>
      </w:r>
      <w:r w:rsidRPr="009F32DC">
        <w:rPr>
          <w:rFonts w:ascii="Times New Roman" w:hAnsi="Times New Roman" w:cs="Times New Roman"/>
          <w:sz w:val="24"/>
          <w:szCs w:val="24"/>
        </w:rPr>
        <w:t>o que obsta a compensação, desconto ou dedução dos honorários advocatícios sucumbenciais do</w:t>
      </w:r>
      <w:r w:rsidR="0058379A">
        <w:rPr>
          <w:rFonts w:ascii="Times New Roman" w:hAnsi="Times New Roman" w:cs="Times New Roman"/>
          <w:sz w:val="24"/>
          <w:szCs w:val="24"/>
        </w:rPr>
        <w:t>s</w:t>
      </w:r>
      <w:r w:rsidRPr="009F32DC">
        <w:rPr>
          <w:rFonts w:ascii="Times New Roman" w:hAnsi="Times New Roman" w:cs="Times New Roman"/>
          <w:sz w:val="24"/>
          <w:szCs w:val="24"/>
        </w:rPr>
        <w:t xml:space="preserve"> crédito</w:t>
      </w:r>
      <w:r w:rsidR="0058379A">
        <w:rPr>
          <w:rFonts w:ascii="Times New Roman" w:hAnsi="Times New Roman" w:cs="Times New Roman"/>
          <w:sz w:val="24"/>
          <w:szCs w:val="24"/>
        </w:rPr>
        <w:t>s</w:t>
      </w:r>
      <w:r w:rsidRPr="009F32DC">
        <w:rPr>
          <w:rFonts w:ascii="Times New Roman" w:hAnsi="Times New Roman" w:cs="Times New Roman"/>
          <w:sz w:val="24"/>
          <w:szCs w:val="24"/>
        </w:rPr>
        <w:t xml:space="preserve"> obtido</w:t>
      </w:r>
      <w:r w:rsidR="0058379A">
        <w:rPr>
          <w:rFonts w:ascii="Times New Roman" w:hAnsi="Times New Roman" w:cs="Times New Roman"/>
          <w:sz w:val="24"/>
          <w:szCs w:val="24"/>
        </w:rPr>
        <w:t>s</w:t>
      </w:r>
      <w:r w:rsidRPr="009F32DC">
        <w:rPr>
          <w:rFonts w:ascii="Times New Roman" w:hAnsi="Times New Roman" w:cs="Times New Roman"/>
          <w:sz w:val="24"/>
          <w:szCs w:val="24"/>
        </w:rPr>
        <w:t xml:space="preserve"> pelo trabalhador em juízo. </w:t>
      </w:r>
    </w:p>
    <w:p w:rsidR="00837F0D" w:rsidRPr="009F32DC" w:rsidRDefault="00837F0D" w:rsidP="00940DEA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43D4F" w:rsidRPr="009F32DC" w:rsidRDefault="00A43D4F" w:rsidP="00940DEA">
      <w:pPr>
        <w:pStyle w:val="Textodenotaderodap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2DC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9F32DC" w:rsidRDefault="009F32DC" w:rsidP="009F32DC">
      <w:pPr>
        <w:pStyle w:val="Textodenotaderodap"/>
        <w:spacing w:line="276" w:lineRule="auto"/>
        <w:jc w:val="both"/>
        <w:rPr>
          <w:sz w:val="24"/>
          <w:szCs w:val="24"/>
        </w:rPr>
      </w:pPr>
    </w:p>
    <w:p w:rsidR="009F32DC" w:rsidRPr="009F32DC" w:rsidRDefault="00B60E71" w:rsidP="009F32DC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DC">
        <w:rPr>
          <w:rFonts w:ascii="Times New Roman" w:hAnsi="Times New Roman" w:cs="Times New Roman"/>
          <w:sz w:val="24"/>
          <w:szCs w:val="24"/>
        </w:rPr>
        <w:t>D</w:t>
      </w:r>
      <w:r w:rsidR="00F70EF7" w:rsidRPr="009F32DC">
        <w:rPr>
          <w:rFonts w:ascii="Times New Roman" w:hAnsi="Times New Roman" w:cs="Times New Roman"/>
          <w:sz w:val="24"/>
          <w:szCs w:val="24"/>
        </w:rPr>
        <w:t>efende-se a tese</w:t>
      </w:r>
      <w:r w:rsidR="009F6EC4" w:rsidRPr="009F32DC">
        <w:rPr>
          <w:rFonts w:ascii="Times New Roman" w:hAnsi="Times New Roman" w:cs="Times New Roman"/>
          <w:sz w:val="24"/>
          <w:szCs w:val="24"/>
        </w:rPr>
        <w:t xml:space="preserve"> de que</w:t>
      </w:r>
      <w:r w:rsidRPr="009F32DC">
        <w:rPr>
          <w:rFonts w:ascii="Times New Roman" w:hAnsi="Times New Roman" w:cs="Times New Roman"/>
          <w:sz w:val="24"/>
          <w:szCs w:val="24"/>
        </w:rPr>
        <w:t xml:space="preserve"> </w:t>
      </w:r>
      <w:r w:rsidR="008A15B3" w:rsidRPr="009F32DC">
        <w:rPr>
          <w:rFonts w:ascii="Times New Roman" w:hAnsi="Times New Roman" w:cs="Times New Roman"/>
          <w:sz w:val="24"/>
          <w:szCs w:val="24"/>
        </w:rPr>
        <w:t>a existência de regulamentação concorrencial no processo comum e no processo do trabalho, associada à impenhorabilidade dos créditos trabalhistas (CPC, art. 833, IV) e à inviabilidade de compensação em relação a crédito não penhorável (CC, art. 373, I</w:t>
      </w:r>
      <w:r w:rsidR="0058379A">
        <w:rPr>
          <w:rFonts w:ascii="Times New Roman" w:hAnsi="Times New Roman" w:cs="Times New Roman"/>
          <w:sz w:val="24"/>
          <w:szCs w:val="24"/>
        </w:rPr>
        <w:t>II</w:t>
      </w:r>
      <w:r w:rsidR="008A15B3" w:rsidRPr="009F32DC">
        <w:rPr>
          <w:rFonts w:ascii="Times New Roman" w:hAnsi="Times New Roman" w:cs="Times New Roman"/>
          <w:sz w:val="24"/>
          <w:szCs w:val="24"/>
        </w:rPr>
        <w:t xml:space="preserve">), </w:t>
      </w:r>
      <w:r w:rsidR="00871F93">
        <w:rPr>
          <w:rFonts w:ascii="Times New Roman" w:hAnsi="Times New Roman" w:cs="Times New Roman"/>
          <w:sz w:val="24"/>
          <w:szCs w:val="24"/>
        </w:rPr>
        <w:t>importa</w:t>
      </w:r>
      <w:r w:rsidR="009F32DC" w:rsidRPr="009F32DC">
        <w:rPr>
          <w:rFonts w:ascii="Times New Roman" w:hAnsi="Times New Roman" w:cs="Times New Roman"/>
          <w:sz w:val="24"/>
          <w:szCs w:val="24"/>
        </w:rPr>
        <w:t xml:space="preserve"> a aplicação da norma mais apta para a tutela jurídica dos direitos dos trabalhadores. </w:t>
      </w:r>
    </w:p>
    <w:p w:rsidR="009F32DC" w:rsidRPr="009F32DC" w:rsidRDefault="009F32DC" w:rsidP="009F32DC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32DC" w:rsidRPr="009F32DC" w:rsidRDefault="009F32DC" w:rsidP="009F32DC">
      <w:pPr>
        <w:pStyle w:val="Textodenotaderoda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DC">
        <w:rPr>
          <w:rFonts w:ascii="Times New Roman" w:hAnsi="Times New Roman" w:cs="Times New Roman"/>
          <w:sz w:val="24"/>
          <w:szCs w:val="24"/>
        </w:rPr>
        <w:t xml:space="preserve">Afasta-se a </w:t>
      </w:r>
      <w:r>
        <w:rPr>
          <w:rFonts w:ascii="Times New Roman" w:hAnsi="Times New Roman" w:cs="Times New Roman"/>
          <w:sz w:val="24"/>
          <w:szCs w:val="24"/>
        </w:rPr>
        <w:t>incidência</w:t>
      </w:r>
      <w:r w:rsidRPr="009F32DC">
        <w:rPr>
          <w:rFonts w:ascii="Times New Roman" w:hAnsi="Times New Roman" w:cs="Times New Roman"/>
          <w:sz w:val="24"/>
          <w:szCs w:val="24"/>
        </w:rPr>
        <w:t xml:space="preserve"> do § 3º do art. 791-A da CLT em favor da </w:t>
      </w:r>
      <w:r>
        <w:rPr>
          <w:rFonts w:ascii="Times New Roman" w:hAnsi="Times New Roman" w:cs="Times New Roman"/>
          <w:sz w:val="24"/>
          <w:szCs w:val="24"/>
        </w:rPr>
        <w:t xml:space="preserve">aplicação </w:t>
      </w:r>
      <w:r w:rsidRPr="009F32DC">
        <w:rPr>
          <w:rFonts w:ascii="Times New Roman" w:hAnsi="Times New Roman" w:cs="Times New Roman"/>
          <w:sz w:val="24"/>
          <w:szCs w:val="24"/>
        </w:rPr>
        <w:t xml:space="preserve">do </w:t>
      </w:r>
      <w:r w:rsidRPr="009F32DC">
        <w:rPr>
          <w:rFonts w:ascii="Times New Roman" w:hAnsi="Times New Roman" w:cs="Times New Roman"/>
          <w:sz w:val="24"/>
          <w:szCs w:val="24"/>
          <w:lang w:eastAsia="pt-BR"/>
        </w:rPr>
        <w:t xml:space="preserve">art. 98, </w:t>
      </w:r>
      <w:r w:rsidRPr="009F32DC">
        <w:rPr>
          <w:rFonts w:ascii="Times New Roman" w:hAnsi="Times New Roman" w:cs="Times New Roman"/>
          <w:sz w:val="24"/>
          <w:szCs w:val="24"/>
        </w:rPr>
        <w:t xml:space="preserve">§ 3º, do CPC, </w:t>
      </w:r>
      <w:r>
        <w:rPr>
          <w:rFonts w:ascii="Times New Roman" w:hAnsi="Times New Roman" w:cs="Times New Roman"/>
          <w:sz w:val="24"/>
          <w:szCs w:val="24"/>
        </w:rPr>
        <w:t xml:space="preserve">em decorrência da aplicação subsidiária, justificada pela configuração de lacuna axiológica (CLT, art. 769), </w:t>
      </w:r>
      <w:r w:rsidRPr="009F32DC">
        <w:rPr>
          <w:rFonts w:ascii="Times New Roman" w:hAnsi="Times New Roman" w:cs="Times New Roman"/>
          <w:sz w:val="24"/>
          <w:szCs w:val="24"/>
        </w:rPr>
        <w:t>o que obsta a compensação, desconto ou dedução dos honorários advocatícios sucumbenciais do</w:t>
      </w:r>
      <w:r w:rsidR="0058379A">
        <w:rPr>
          <w:rFonts w:ascii="Times New Roman" w:hAnsi="Times New Roman" w:cs="Times New Roman"/>
          <w:sz w:val="24"/>
          <w:szCs w:val="24"/>
        </w:rPr>
        <w:t>s</w:t>
      </w:r>
      <w:r w:rsidRPr="009F32DC">
        <w:rPr>
          <w:rFonts w:ascii="Times New Roman" w:hAnsi="Times New Roman" w:cs="Times New Roman"/>
          <w:sz w:val="24"/>
          <w:szCs w:val="24"/>
        </w:rPr>
        <w:t xml:space="preserve"> crédito</w:t>
      </w:r>
      <w:r w:rsidR="0058379A">
        <w:rPr>
          <w:rFonts w:ascii="Times New Roman" w:hAnsi="Times New Roman" w:cs="Times New Roman"/>
          <w:sz w:val="24"/>
          <w:szCs w:val="24"/>
        </w:rPr>
        <w:t>s</w:t>
      </w:r>
      <w:r w:rsidRPr="009F32DC">
        <w:rPr>
          <w:rFonts w:ascii="Times New Roman" w:hAnsi="Times New Roman" w:cs="Times New Roman"/>
          <w:sz w:val="24"/>
          <w:szCs w:val="24"/>
        </w:rPr>
        <w:t xml:space="preserve"> obtido</w:t>
      </w:r>
      <w:r w:rsidR="0058379A">
        <w:rPr>
          <w:rFonts w:ascii="Times New Roman" w:hAnsi="Times New Roman" w:cs="Times New Roman"/>
          <w:sz w:val="24"/>
          <w:szCs w:val="24"/>
        </w:rPr>
        <w:t>s</w:t>
      </w:r>
      <w:r w:rsidRPr="009F32DC">
        <w:rPr>
          <w:rFonts w:ascii="Times New Roman" w:hAnsi="Times New Roman" w:cs="Times New Roman"/>
          <w:sz w:val="24"/>
          <w:szCs w:val="24"/>
        </w:rPr>
        <w:t xml:space="preserve"> pelo trabalhador em juízo. </w:t>
      </w:r>
    </w:p>
    <w:p w:rsidR="007E1D8C" w:rsidRPr="009F32DC" w:rsidRDefault="007E1D8C" w:rsidP="008A15B3">
      <w:pPr>
        <w:pStyle w:val="NormalWeb"/>
        <w:spacing w:line="276" w:lineRule="auto"/>
        <w:jc w:val="both"/>
        <w:rPr>
          <w:b/>
        </w:rPr>
      </w:pPr>
      <w:r w:rsidRPr="009F32DC">
        <w:rPr>
          <w:b/>
        </w:rPr>
        <w:t>REFE</w:t>
      </w:r>
      <w:r w:rsidR="002D1434">
        <w:rPr>
          <w:b/>
        </w:rPr>
        <w:t>R</w:t>
      </w:r>
      <w:r w:rsidRPr="009F32DC">
        <w:rPr>
          <w:b/>
        </w:rPr>
        <w:t>ÊNCIAS BIBLIOGRÁFICAS</w:t>
      </w:r>
    </w:p>
    <w:p w:rsidR="00181B46" w:rsidRPr="009F32DC" w:rsidRDefault="00181B46" w:rsidP="00940DEA">
      <w:pPr>
        <w:pStyle w:val="NormalWeb"/>
        <w:spacing w:line="276" w:lineRule="auto"/>
        <w:jc w:val="both"/>
      </w:pPr>
      <w:r w:rsidRPr="009F32DC">
        <w:t xml:space="preserve">ALMEIDA, Cléber Lúcio de. </w:t>
      </w:r>
      <w:r w:rsidRPr="009F32DC">
        <w:rPr>
          <w:i/>
        </w:rPr>
        <w:t xml:space="preserve">A Reforma Trabalhista e o Acesso à </w:t>
      </w:r>
      <w:r w:rsidRPr="009F32DC">
        <w:t xml:space="preserve">Justiça. IN: FELICIANO, Guilherme Guimarães; TREVISO, Marco Aurélio Marsiglia; FONTES, </w:t>
      </w:r>
      <w:r w:rsidRPr="009F32DC">
        <w:lastRenderedPageBreak/>
        <w:t xml:space="preserve">Saulo Tarcísio de Carvalho. </w:t>
      </w:r>
      <w:r w:rsidRPr="009F32DC">
        <w:rPr>
          <w:i/>
        </w:rPr>
        <w:t xml:space="preserve">Reforma Trabalhista – visão, compreensão e crítica. </w:t>
      </w:r>
      <w:r w:rsidRPr="009F32DC">
        <w:t xml:space="preserve">São Paulo: LTr, 2017. </w:t>
      </w:r>
    </w:p>
    <w:p w:rsidR="007E1D8C" w:rsidRPr="009F32DC" w:rsidRDefault="007E1D8C" w:rsidP="00940DEA">
      <w:pPr>
        <w:pStyle w:val="NormalWeb"/>
        <w:spacing w:line="276" w:lineRule="auto"/>
        <w:jc w:val="both"/>
      </w:pPr>
      <w:r w:rsidRPr="009F32DC">
        <w:t xml:space="preserve">DELGADO, Maurício Godinho; e DELGADO, Gabriela Neves. </w:t>
      </w:r>
      <w:r w:rsidRPr="009F32DC">
        <w:rPr>
          <w:i/>
        </w:rPr>
        <w:t xml:space="preserve">A Reforma Trabalhista no Brasil – Com os comentários à Lei nº 13.467/2017. </w:t>
      </w:r>
      <w:r w:rsidRPr="009F32DC">
        <w:t xml:space="preserve">São Paulo: LTr, 2017. </w:t>
      </w:r>
    </w:p>
    <w:p w:rsidR="007E1D8C" w:rsidRPr="009F32DC" w:rsidRDefault="007E1D8C" w:rsidP="00940DEA">
      <w:pPr>
        <w:pStyle w:val="NormalWeb"/>
        <w:spacing w:line="276" w:lineRule="auto"/>
        <w:jc w:val="both"/>
      </w:pPr>
      <w:r w:rsidRPr="009F32DC">
        <w:t xml:space="preserve">LIMA, Francisco Meton Marques de; LIMA, Francisco Péricles Marques de. </w:t>
      </w:r>
      <w:r w:rsidRPr="009F32DC">
        <w:rPr>
          <w:i/>
        </w:rPr>
        <w:t xml:space="preserve">Reforma Trabalhista – entenda ponto por ponto. </w:t>
      </w:r>
      <w:r w:rsidRPr="009F32DC">
        <w:t xml:space="preserve">São Paulo: LTr, 2017. </w:t>
      </w:r>
    </w:p>
    <w:p w:rsidR="0096669D" w:rsidRPr="002D1434" w:rsidRDefault="0096669D" w:rsidP="00940DEA">
      <w:pPr>
        <w:pStyle w:val="NormalWeb"/>
        <w:spacing w:line="276" w:lineRule="auto"/>
        <w:jc w:val="both"/>
      </w:pPr>
      <w:r w:rsidRPr="009F32DC">
        <w:t xml:space="preserve">MOLINA, André Araújo. </w:t>
      </w:r>
      <w:r w:rsidRPr="009F32DC">
        <w:rPr>
          <w:i/>
        </w:rPr>
        <w:t xml:space="preserve">Justiça Gratuita. </w:t>
      </w:r>
      <w:r w:rsidRPr="009F32DC">
        <w:t xml:space="preserve">IN: FELICIANO, Guilherme Guimarães; TREVISO, Marco Aurélio Marsiglia; FONTES, Saulo Tarcísio de Carvalho. </w:t>
      </w:r>
      <w:r w:rsidRPr="009F32DC">
        <w:rPr>
          <w:i/>
        </w:rPr>
        <w:t xml:space="preserve">Reforma Trabalhista – visão, compreensão e crítica. </w:t>
      </w:r>
      <w:r w:rsidRPr="002D1434">
        <w:t xml:space="preserve">São Paulo: LTr, 2017. </w:t>
      </w:r>
    </w:p>
    <w:p w:rsidR="0010782F" w:rsidRPr="009F32DC" w:rsidRDefault="0010782F" w:rsidP="00940DEA">
      <w:pPr>
        <w:pStyle w:val="NormalWeb"/>
        <w:spacing w:line="276" w:lineRule="auto"/>
        <w:jc w:val="both"/>
      </w:pPr>
    </w:p>
    <w:p w:rsidR="0096669D" w:rsidRPr="009F32DC" w:rsidRDefault="0096669D" w:rsidP="00940DEA">
      <w:pPr>
        <w:pStyle w:val="NormalWeb"/>
        <w:spacing w:line="276" w:lineRule="auto"/>
        <w:jc w:val="both"/>
        <w:rPr>
          <w:i/>
        </w:rPr>
      </w:pPr>
    </w:p>
    <w:sectPr w:rsidR="0096669D" w:rsidRPr="009F32DC" w:rsidSect="004F399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8B9" w:rsidRDefault="00E248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248B9" w:rsidRDefault="00E248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C7C" w:rsidRDefault="009D7BFF">
    <w:pPr>
      <w:pStyle w:val="Rodap"/>
      <w:jc w:val="center"/>
      <w:rPr>
        <w:rFonts w:ascii="Times New Roman" w:hAnsi="Times New Roman" w:cs="Times New Roman"/>
      </w:rPr>
    </w:pPr>
    <w:fldSimple w:instr="PAGE   \* MERGEFORMAT">
      <w:r w:rsidR="00691E0A">
        <w:rPr>
          <w:noProof/>
        </w:rPr>
        <w:t>3</w:t>
      </w:r>
    </w:fldSimple>
  </w:p>
  <w:p w:rsidR="00066C7C" w:rsidRDefault="00066C7C">
    <w:pPr>
      <w:pStyle w:val="Rodap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8B9" w:rsidRDefault="00E248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248B9" w:rsidRDefault="00E248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C7C" w:rsidRPr="005852DA" w:rsidRDefault="00066C7C" w:rsidP="005852DA">
    <w:pPr>
      <w:pStyle w:val="NormalWeb"/>
      <w:spacing w:after="200" w:afterAutospacing="0"/>
      <w:jc w:val="center"/>
      <w:rPr>
        <w:rFonts w:asciiTheme="majorHAnsi" w:hAnsiTheme="majorHAnsi" w:cs="Courier New"/>
        <w:bCs/>
        <w:sz w:val="22"/>
        <w:szCs w:val="22"/>
      </w:rPr>
    </w:pPr>
    <w:r w:rsidRPr="005852DA">
      <w:rPr>
        <w:rFonts w:asciiTheme="majorHAnsi" w:hAnsiTheme="majorHAnsi" w:cs="Courier New"/>
        <w:bCs/>
        <w:sz w:val="22"/>
        <w:szCs w:val="22"/>
      </w:rPr>
      <w:t xml:space="preserve">ANAMATRA – </w:t>
    </w:r>
    <w:r>
      <w:rPr>
        <w:rFonts w:asciiTheme="majorHAnsi" w:hAnsiTheme="majorHAnsi" w:cs="Courier New"/>
        <w:bCs/>
        <w:sz w:val="22"/>
        <w:szCs w:val="22"/>
      </w:rPr>
      <w:t>Associação Nacional dos Magistrados d</w:t>
    </w:r>
    <w:r w:rsidR="002D1434">
      <w:rPr>
        <w:rFonts w:asciiTheme="majorHAnsi" w:hAnsiTheme="majorHAnsi" w:cs="Courier New"/>
        <w:bCs/>
        <w:sz w:val="22"/>
        <w:szCs w:val="22"/>
      </w:rPr>
      <w:t>a Justiça d</w:t>
    </w:r>
    <w:r w:rsidRPr="005852DA">
      <w:rPr>
        <w:rFonts w:asciiTheme="majorHAnsi" w:hAnsiTheme="majorHAnsi" w:cs="Courier New"/>
        <w:bCs/>
        <w:sz w:val="22"/>
        <w:szCs w:val="22"/>
      </w:rPr>
      <w:t>o Trabalho</w:t>
    </w:r>
  </w:p>
  <w:p w:rsidR="00066C7C" w:rsidRDefault="00066C7C" w:rsidP="005852DA">
    <w:pPr>
      <w:pStyle w:val="Cabealho"/>
      <w:jc w:val="center"/>
      <w:rPr>
        <w:rFonts w:asciiTheme="majorHAnsi" w:hAnsiTheme="majorHAnsi" w:cs="Times New Roman"/>
      </w:rPr>
    </w:pPr>
    <w:r w:rsidRPr="005852DA">
      <w:rPr>
        <w:rFonts w:asciiTheme="majorHAnsi" w:hAnsiTheme="majorHAnsi" w:cs="Times New Roman"/>
      </w:rPr>
      <w:t>19º CONAMAT – Congresso Nacional dos Magistrados da Justiça do Trabalho</w:t>
    </w:r>
  </w:p>
  <w:p w:rsidR="002D1434" w:rsidRPr="005852DA" w:rsidRDefault="002D1434" w:rsidP="005852DA">
    <w:pPr>
      <w:pStyle w:val="Cabealho"/>
      <w:jc w:val="center"/>
      <w:rPr>
        <w:rFonts w:asciiTheme="majorHAnsi" w:hAnsiTheme="majorHAnsi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79C2"/>
    <w:multiLevelType w:val="hybridMultilevel"/>
    <w:tmpl w:val="D40EA040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399C"/>
    <w:rsid w:val="0000575A"/>
    <w:rsid w:val="000141F4"/>
    <w:rsid w:val="000146B3"/>
    <w:rsid w:val="000242AE"/>
    <w:rsid w:val="0003527D"/>
    <w:rsid w:val="00035E15"/>
    <w:rsid w:val="00066C7C"/>
    <w:rsid w:val="00096751"/>
    <w:rsid w:val="000C7137"/>
    <w:rsid w:val="000D4DB2"/>
    <w:rsid w:val="000D7BA1"/>
    <w:rsid w:val="000E2CE3"/>
    <w:rsid w:val="0010782F"/>
    <w:rsid w:val="0012686C"/>
    <w:rsid w:val="001466B0"/>
    <w:rsid w:val="00156CF5"/>
    <w:rsid w:val="0016233F"/>
    <w:rsid w:val="00181B46"/>
    <w:rsid w:val="001B3EEE"/>
    <w:rsid w:val="001C1D17"/>
    <w:rsid w:val="001C2E35"/>
    <w:rsid w:val="001C6A7B"/>
    <w:rsid w:val="00201D4F"/>
    <w:rsid w:val="00221660"/>
    <w:rsid w:val="002362AE"/>
    <w:rsid w:val="0027169A"/>
    <w:rsid w:val="00280A7F"/>
    <w:rsid w:val="002B08A9"/>
    <w:rsid w:val="002C4081"/>
    <w:rsid w:val="002D1434"/>
    <w:rsid w:val="002D3B47"/>
    <w:rsid w:val="002F2023"/>
    <w:rsid w:val="00325243"/>
    <w:rsid w:val="00366AFD"/>
    <w:rsid w:val="00372848"/>
    <w:rsid w:val="003772CF"/>
    <w:rsid w:val="00385CF3"/>
    <w:rsid w:val="00390C30"/>
    <w:rsid w:val="0039161D"/>
    <w:rsid w:val="0039234D"/>
    <w:rsid w:val="00392A8A"/>
    <w:rsid w:val="003945E5"/>
    <w:rsid w:val="00395B22"/>
    <w:rsid w:val="003971FD"/>
    <w:rsid w:val="003A05F4"/>
    <w:rsid w:val="003A51DE"/>
    <w:rsid w:val="003B5565"/>
    <w:rsid w:val="003D0468"/>
    <w:rsid w:val="003F2B8F"/>
    <w:rsid w:val="004062A0"/>
    <w:rsid w:val="00421640"/>
    <w:rsid w:val="00452851"/>
    <w:rsid w:val="0046540F"/>
    <w:rsid w:val="00471297"/>
    <w:rsid w:val="0047774C"/>
    <w:rsid w:val="004935B6"/>
    <w:rsid w:val="004B6ECE"/>
    <w:rsid w:val="004F19DF"/>
    <w:rsid w:val="004F399C"/>
    <w:rsid w:val="00507A3A"/>
    <w:rsid w:val="0051525F"/>
    <w:rsid w:val="00523E38"/>
    <w:rsid w:val="00555161"/>
    <w:rsid w:val="00567C11"/>
    <w:rsid w:val="005766DD"/>
    <w:rsid w:val="0058379A"/>
    <w:rsid w:val="005852DA"/>
    <w:rsid w:val="005B215F"/>
    <w:rsid w:val="005C5FC4"/>
    <w:rsid w:val="005E29EA"/>
    <w:rsid w:val="005F53F1"/>
    <w:rsid w:val="00620E3A"/>
    <w:rsid w:val="00650F6F"/>
    <w:rsid w:val="00664FD7"/>
    <w:rsid w:val="00666E7E"/>
    <w:rsid w:val="00671EEC"/>
    <w:rsid w:val="00691E0A"/>
    <w:rsid w:val="006A3112"/>
    <w:rsid w:val="006A4A23"/>
    <w:rsid w:val="006A4A6D"/>
    <w:rsid w:val="006A6A5F"/>
    <w:rsid w:val="006D6D9B"/>
    <w:rsid w:val="006F7959"/>
    <w:rsid w:val="007072F5"/>
    <w:rsid w:val="007431A8"/>
    <w:rsid w:val="00744CDD"/>
    <w:rsid w:val="0074602D"/>
    <w:rsid w:val="00761959"/>
    <w:rsid w:val="007757D0"/>
    <w:rsid w:val="0078674E"/>
    <w:rsid w:val="007B6B6E"/>
    <w:rsid w:val="007B6F82"/>
    <w:rsid w:val="007C1047"/>
    <w:rsid w:val="007E1750"/>
    <w:rsid w:val="007E1D8C"/>
    <w:rsid w:val="00823621"/>
    <w:rsid w:val="00830470"/>
    <w:rsid w:val="008375E9"/>
    <w:rsid w:val="00837F0D"/>
    <w:rsid w:val="00871F93"/>
    <w:rsid w:val="008823E2"/>
    <w:rsid w:val="00890CD9"/>
    <w:rsid w:val="008A0104"/>
    <w:rsid w:val="008A15B3"/>
    <w:rsid w:val="008B5E2F"/>
    <w:rsid w:val="008C1F08"/>
    <w:rsid w:val="008C39C2"/>
    <w:rsid w:val="008D3F47"/>
    <w:rsid w:val="008F181A"/>
    <w:rsid w:val="009129CC"/>
    <w:rsid w:val="00913FD9"/>
    <w:rsid w:val="009147D3"/>
    <w:rsid w:val="00931510"/>
    <w:rsid w:val="00936B8F"/>
    <w:rsid w:val="00940DEA"/>
    <w:rsid w:val="00956D78"/>
    <w:rsid w:val="0096188E"/>
    <w:rsid w:val="0096669D"/>
    <w:rsid w:val="0097259F"/>
    <w:rsid w:val="00990737"/>
    <w:rsid w:val="009943CD"/>
    <w:rsid w:val="0099603C"/>
    <w:rsid w:val="009B63BA"/>
    <w:rsid w:val="009D33BC"/>
    <w:rsid w:val="009D7BFF"/>
    <w:rsid w:val="009E6F22"/>
    <w:rsid w:val="009F2B70"/>
    <w:rsid w:val="009F32DC"/>
    <w:rsid w:val="009F6E8A"/>
    <w:rsid w:val="009F6EC4"/>
    <w:rsid w:val="00A06752"/>
    <w:rsid w:val="00A145FC"/>
    <w:rsid w:val="00A16F18"/>
    <w:rsid w:val="00A3160C"/>
    <w:rsid w:val="00A43D4F"/>
    <w:rsid w:val="00A550EF"/>
    <w:rsid w:val="00A6006F"/>
    <w:rsid w:val="00A731D2"/>
    <w:rsid w:val="00A73559"/>
    <w:rsid w:val="00A73DAA"/>
    <w:rsid w:val="00AA3FF3"/>
    <w:rsid w:val="00AA625F"/>
    <w:rsid w:val="00AD1A34"/>
    <w:rsid w:val="00B025EA"/>
    <w:rsid w:val="00B0279F"/>
    <w:rsid w:val="00B11A10"/>
    <w:rsid w:val="00B11B34"/>
    <w:rsid w:val="00B50D1E"/>
    <w:rsid w:val="00B512FF"/>
    <w:rsid w:val="00B5547B"/>
    <w:rsid w:val="00B60E71"/>
    <w:rsid w:val="00B65F36"/>
    <w:rsid w:val="00B90553"/>
    <w:rsid w:val="00B92507"/>
    <w:rsid w:val="00B94E4F"/>
    <w:rsid w:val="00BB4616"/>
    <w:rsid w:val="00BC03DF"/>
    <w:rsid w:val="00BD1F26"/>
    <w:rsid w:val="00BD5790"/>
    <w:rsid w:val="00BD6D00"/>
    <w:rsid w:val="00BE04F4"/>
    <w:rsid w:val="00C43A73"/>
    <w:rsid w:val="00C81DFC"/>
    <w:rsid w:val="00C84603"/>
    <w:rsid w:val="00C91231"/>
    <w:rsid w:val="00C91FD8"/>
    <w:rsid w:val="00CA2F68"/>
    <w:rsid w:val="00CC3C27"/>
    <w:rsid w:val="00CE6F98"/>
    <w:rsid w:val="00CF5480"/>
    <w:rsid w:val="00D16CC7"/>
    <w:rsid w:val="00D6414E"/>
    <w:rsid w:val="00D81360"/>
    <w:rsid w:val="00DB29F3"/>
    <w:rsid w:val="00DC241A"/>
    <w:rsid w:val="00DC5DB3"/>
    <w:rsid w:val="00DF0545"/>
    <w:rsid w:val="00DF5F46"/>
    <w:rsid w:val="00E01D3E"/>
    <w:rsid w:val="00E248B9"/>
    <w:rsid w:val="00E57B43"/>
    <w:rsid w:val="00E8016E"/>
    <w:rsid w:val="00EA1768"/>
    <w:rsid w:val="00EA6EDD"/>
    <w:rsid w:val="00EB0B3D"/>
    <w:rsid w:val="00EC25BF"/>
    <w:rsid w:val="00EC3E7A"/>
    <w:rsid w:val="00ED21B6"/>
    <w:rsid w:val="00ED462A"/>
    <w:rsid w:val="00F023C8"/>
    <w:rsid w:val="00F12197"/>
    <w:rsid w:val="00F307D5"/>
    <w:rsid w:val="00F31415"/>
    <w:rsid w:val="00F70EF7"/>
    <w:rsid w:val="00F756FD"/>
    <w:rsid w:val="00F86664"/>
    <w:rsid w:val="00FC05CA"/>
    <w:rsid w:val="00FF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75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067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uiPriority w:val="99"/>
    <w:rsid w:val="00A067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A06752"/>
    <w:rPr>
      <w:rFonts w:ascii="Times New Roman" w:hAnsi="Times New Roman"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A0675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A06752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uiPriority w:val="99"/>
    <w:rsid w:val="00A06752"/>
    <w:rPr>
      <w:rFonts w:ascii="Times New Roman" w:hAnsi="Times New Roman" w:cs="Times New Roman"/>
      <w:vertAlign w:val="superscript"/>
    </w:rPr>
  </w:style>
  <w:style w:type="paragraph" w:styleId="Cabealho">
    <w:name w:val="header"/>
    <w:basedOn w:val="Normal"/>
    <w:link w:val="CabealhoChar"/>
    <w:uiPriority w:val="99"/>
    <w:rsid w:val="00A06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A06752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rsid w:val="00A06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A06752"/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A0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A06752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5852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1201-6A48-4515-8231-66E8B41E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1178</Words>
  <Characters>6367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Boson</dc:creator>
  <cp:lastModifiedBy>cassandra</cp:lastModifiedBy>
  <cp:revision>6</cp:revision>
  <cp:lastPrinted>2018-04-12T13:33:00Z</cp:lastPrinted>
  <dcterms:created xsi:type="dcterms:W3CDTF">2018-04-10T15:18:00Z</dcterms:created>
  <dcterms:modified xsi:type="dcterms:W3CDTF">2018-04-12T14:06:00Z</dcterms:modified>
</cp:coreProperties>
</file>