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DA" w:rsidRPr="00E46336" w:rsidRDefault="005852DA" w:rsidP="00E46336">
      <w:pPr>
        <w:pStyle w:val="NormalWeb"/>
        <w:spacing w:after="200" w:afterAutospacing="0" w:line="276" w:lineRule="auto"/>
        <w:jc w:val="both"/>
        <w:rPr>
          <w:b/>
          <w:bCs/>
        </w:rPr>
      </w:pPr>
    </w:p>
    <w:p w:rsidR="008375E9" w:rsidRPr="00E46336" w:rsidRDefault="008375E9" w:rsidP="00E46336">
      <w:pPr>
        <w:pStyle w:val="NormalWeb"/>
        <w:spacing w:line="276" w:lineRule="auto"/>
        <w:jc w:val="both"/>
        <w:rPr>
          <w:bCs/>
        </w:rPr>
      </w:pPr>
      <w:r w:rsidRPr="00E46336">
        <w:rPr>
          <w:b/>
          <w:bCs/>
        </w:rPr>
        <w:t>COMISSÃO O</w:t>
      </w:r>
      <w:r w:rsidR="00AA64DE">
        <w:rPr>
          <w:b/>
          <w:bCs/>
        </w:rPr>
        <w:t>3</w:t>
      </w:r>
      <w:r w:rsidRPr="00E46336">
        <w:rPr>
          <w:b/>
          <w:bCs/>
        </w:rPr>
        <w:t xml:space="preserve">: </w:t>
      </w:r>
      <w:r w:rsidRPr="00E46336">
        <w:rPr>
          <w:bCs/>
        </w:rPr>
        <w:t xml:space="preserve">REFORMA TRABALHISTA: </w:t>
      </w:r>
      <w:r w:rsidR="00AA64DE">
        <w:rPr>
          <w:bCs/>
        </w:rPr>
        <w:t>CONSTITUIÇÃO, TRATADOS INTERNACIONAIS E DIREITO DO TRABALHO</w:t>
      </w:r>
    </w:p>
    <w:p w:rsidR="00E879B5" w:rsidRPr="00E46336" w:rsidRDefault="004F399C" w:rsidP="00E46336">
      <w:pPr>
        <w:pStyle w:val="Textodenotaderodap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b/>
          <w:bCs/>
          <w:sz w:val="24"/>
          <w:szCs w:val="24"/>
        </w:rPr>
        <w:t>EMENTA:</w:t>
      </w:r>
      <w:r w:rsidR="008375E9" w:rsidRPr="00E46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E74" w:rsidRPr="00E46336">
        <w:rPr>
          <w:rFonts w:ascii="Times New Roman" w:hAnsi="Times New Roman" w:cs="Times New Roman"/>
          <w:sz w:val="24"/>
          <w:szCs w:val="24"/>
        </w:rPr>
        <w:t xml:space="preserve">NORMAS COLETIVAS. VEDAÇÃO </w:t>
      </w:r>
      <w:r w:rsidR="005E7FB9" w:rsidRPr="00E46336">
        <w:rPr>
          <w:rFonts w:ascii="Times New Roman" w:hAnsi="Times New Roman" w:cs="Times New Roman"/>
          <w:sz w:val="24"/>
          <w:szCs w:val="24"/>
        </w:rPr>
        <w:t xml:space="preserve">DA </w:t>
      </w:r>
      <w:r w:rsidR="00794E74" w:rsidRPr="00E46336">
        <w:rPr>
          <w:rFonts w:ascii="Times New Roman" w:hAnsi="Times New Roman" w:cs="Times New Roman"/>
          <w:sz w:val="24"/>
          <w:szCs w:val="24"/>
        </w:rPr>
        <w:t>ULTRATIVIDADE. INCONSTITUCIONALIDADE.</w:t>
      </w:r>
      <w:r w:rsidR="00581CBA" w:rsidRPr="00E46336">
        <w:rPr>
          <w:rFonts w:ascii="Times New Roman" w:hAnsi="Times New Roman" w:cs="Times New Roman"/>
          <w:sz w:val="24"/>
          <w:szCs w:val="24"/>
        </w:rPr>
        <w:t xml:space="preserve"> </w:t>
      </w:r>
      <w:r w:rsidR="00837827" w:rsidRPr="00E46336">
        <w:rPr>
          <w:rFonts w:ascii="Times New Roman" w:hAnsi="Times New Roman" w:cs="Times New Roman"/>
          <w:sz w:val="24"/>
          <w:szCs w:val="24"/>
        </w:rPr>
        <w:t>A regra do</w:t>
      </w:r>
      <w:r w:rsidR="003A0F3B">
        <w:rPr>
          <w:rFonts w:ascii="Times New Roman" w:hAnsi="Times New Roman" w:cs="Times New Roman"/>
          <w:sz w:val="24"/>
          <w:szCs w:val="24"/>
        </w:rPr>
        <w:t xml:space="preserve"> </w:t>
      </w:r>
      <w:r w:rsidR="003A0F3B" w:rsidRPr="00E46336">
        <w:rPr>
          <w:rFonts w:ascii="Times New Roman" w:hAnsi="Times New Roman" w:cs="Times New Roman"/>
          <w:sz w:val="24"/>
          <w:szCs w:val="24"/>
        </w:rPr>
        <w:t>§ 3º</w:t>
      </w:r>
      <w:r w:rsidR="003A0F3B">
        <w:rPr>
          <w:rFonts w:ascii="Times New Roman" w:hAnsi="Times New Roman" w:cs="Times New Roman"/>
          <w:sz w:val="24"/>
          <w:szCs w:val="24"/>
        </w:rPr>
        <w:t xml:space="preserve"> do</w:t>
      </w:r>
      <w:r w:rsidR="00E9263C" w:rsidRPr="00E46336">
        <w:rPr>
          <w:rFonts w:ascii="Times New Roman" w:hAnsi="Times New Roman" w:cs="Times New Roman"/>
          <w:sz w:val="24"/>
          <w:szCs w:val="24"/>
        </w:rPr>
        <w:t xml:space="preserve"> art. 614 da CLT, com a redação </w:t>
      </w:r>
      <w:r w:rsidR="00837827" w:rsidRPr="00E46336">
        <w:rPr>
          <w:rFonts w:ascii="Times New Roman" w:hAnsi="Times New Roman" w:cs="Times New Roman"/>
          <w:sz w:val="24"/>
          <w:szCs w:val="24"/>
        </w:rPr>
        <w:t>d</w:t>
      </w:r>
      <w:r w:rsidR="00E9263C" w:rsidRPr="00E46336">
        <w:rPr>
          <w:rFonts w:ascii="Times New Roman" w:hAnsi="Times New Roman" w:cs="Times New Roman"/>
          <w:sz w:val="24"/>
          <w:szCs w:val="24"/>
        </w:rPr>
        <w:t xml:space="preserve">a Lei nº 13.647/2017, na parte em que pretende vedar a ultratividade </w:t>
      </w:r>
      <w:r w:rsidR="0071716B">
        <w:rPr>
          <w:rFonts w:ascii="Times New Roman" w:hAnsi="Times New Roman" w:cs="Times New Roman"/>
          <w:sz w:val="24"/>
          <w:szCs w:val="24"/>
        </w:rPr>
        <w:t xml:space="preserve">por revogação </w:t>
      </w:r>
      <w:r w:rsidR="00E9263C" w:rsidRPr="00E46336">
        <w:rPr>
          <w:rFonts w:ascii="Times New Roman" w:hAnsi="Times New Roman" w:cs="Times New Roman"/>
          <w:sz w:val="24"/>
          <w:szCs w:val="24"/>
        </w:rPr>
        <w:t xml:space="preserve">das normas coletivas, é inconstitucional, por </w:t>
      </w:r>
      <w:r w:rsidR="00564E63" w:rsidRPr="00E46336">
        <w:rPr>
          <w:rFonts w:ascii="Times New Roman" w:hAnsi="Times New Roman" w:cs="Times New Roman"/>
          <w:sz w:val="24"/>
          <w:szCs w:val="24"/>
          <w:lang w:eastAsia="pt-BR"/>
        </w:rPr>
        <w:t>viola</w:t>
      </w:r>
      <w:r w:rsidR="00E46336">
        <w:rPr>
          <w:rFonts w:ascii="Times New Roman" w:hAnsi="Times New Roman" w:cs="Times New Roman"/>
          <w:sz w:val="24"/>
          <w:szCs w:val="24"/>
          <w:lang w:eastAsia="pt-BR"/>
        </w:rPr>
        <w:t xml:space="preserve">r </w:t>
      </w:r>
      <w:r w:rsidR="00564E63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="00E46336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§ 2º </w:t>
      </w:r>
      <w:r w:rsidR="00E46336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="00E879B5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art. 114 da CF, </w:t>
      </w:r>
      <w:r w:rsidR="00564E63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que garante </w:t>
      </w:r>
      <w:r w:rsidR="00564E63" w:rsidRPr="00E46336">
        <w:rPr>
          <w:rFonts w:ascii="Times New Roman" w:hAnsi="Times New Roman" w:cs="Times New Roman"/>
          <w:sz w:val="24"/>
          <w:szCs w:val="24"/>
        </w:rPr>
        <w:t xml:space="preserve">o respeito às disposições mínimas </w:t>
      </w:r>
      <w:r w:rsidR="0071716B" w:rsidRPr="00E46336">
        <w:rPr>
          <w:rFonts w:ascii="Times New Roman" w:hAnsi="Times New Roman" w:cs="Times New Roman"/>
          <w:sz w:val="24"/>
          <w:szCs w:val="24"/>
        </w:rPr>
        <w:t xml:space="preserve">convencionadas anteriormente </w:t>
      </w:r>
      <w:r w:rsidR="00564E63" w:rsidRPr="00E46336">
        <w:rPr>
          <w:rFonts w:ascii="Times New Roman" w:hAnsi="Times New Roman" w:cs="Times New Roman"/>
          <w:sz w:val="24"/>
          <w:szCs w:val="24"/>
        </w:rPr>
        <w:t xml:space="preserve">de proteção ao trabalho, e o </w:t>
      </w:r>
      <w:r w:rsidR="00E46336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E46336">
        <w:rPr>
          <w:rFonts w:ascii="Times New Roman" w:hAnsi="Times New Roman" w:cs="Times New Roman"/>
          <w:sz w:val="24"/>
          <w:szCs w:val="24"/>
        </w:rPr>
        <w:t xml:space="preserve">do </w:t>
      </w:r>
      <w:r w:rsidR="00E879B5" w:rsidRPr="00E46336">
        <w:rPr>
          <w:rFonts w:ascii="Times New Roman" w:hAnsi="Times New Roman" w:cs="Times New Roman"/>
          <w:sz w:val="24"/>
          <w:szCs w:val="24"/>
          <w:lang w:eastAsia="pt-BR"/>
        </w:rPr>
        <w:t>art. 7º</w:t>
      </w:r>
      <w:r w:rsidR="00E4633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879B5" w:rsidRPr="00E46336">
        <w:rPr>
          <w:rFonts w:ascii="Times New Roman" w:hAnsi="Times New Roman" w:cs="Times New Roman"/>
          <w:sz w:val="24"/>
          <w:szCs w:val="24"/>
          <w:lang w:eastAsia="pt-BR"/>
        </w:rPr>
        <w:t>da CF, que consagra no âmbito trabalhista o princípio da vedação d</w:t>
      </w:r>
      <w:r w:rsidR="00E46336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E879B5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retrocesso social. </w:t>
      </w:r>
    </w:p>
    <w:p w:rsidR="00E9263C" w:rsidRPr="00E46336" w:rsidRDefault="00E9263C" w:rsidP="00E46336">
      <w:pPr>
        <w:pStyle w:val="Textodenotaderoda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99C" w:rsidRPr="00E46336" w:rsidRDefault="004F399C" w:rsidP="00E46336">
      <w:pPr>
        <w:pStyle w:val="Textodenotaderodap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336">
        <w:rPr>
          <w:rFonts w:ascii="Times New Roman" w:hAnsi="Times New Roman" w:cs="Times New Roman"/>
          <w:b/>
          <w:bCs/>
          <w:sz w:val="24"/>
          <w:szCs w:val="24"/>
        </w:rPr>
        <w:t>AUTOR: ARNALDO BOSON PAES</w:t>
      </w:r>
      <w:r w:rsidR="00EB0B3D" w:rsidRPr="00E46336">
        <w:rPr>
          <w:rFonts w:ascii="Times New Roman" w:hAnsi="Times New Roman" w:cs="Times New Roman"/>
          <w:b/>
          <w:bCs/>
          <w:sz w:val="24"/>
          <w:szCs w:val="24"/>
        </w:rPr>
        <w:t>, AMATRA XXII, DESEMBARGADOR/TRT/22</w:t>
      </w:r>
    </w:p>
    <w:p w:rsidR="004F399C" w:rsidRDefault="004F399C" w:rsidP="00E46336">
      <w:pPr>
        <w:pStyle w:val="NormalWeb"/>
        <w:spacing w:after="200" w:afterAutospacing="0" w:line="276" w:lineRule="auto"/>
        <w:jc w:val="center"/>
        <w:rPr>
          <w:b/>
          <w:bCs/>
          <w:u w:val="single"/>
        </w:rPr>
      </w:pPr>
      <w:r w:rsidRPr="00E46336">
        <w:rPr>
          <w:b/>
          <w:bCs/>
          <w:u w:val="single"/>
        </w:rPr>
        <w:t>JUSTIFICATIVA</w:t>
      </w:r>
    </w:p>
    <w:p w:rsidR="005E7FB9" w:rsidRPr="00E46336" w:rsidRDefault="004F399C" w:rsidP="00E46336">
      <w:pPr>
        <w:pStyle w:val="NormalWeb"/>
        <w:spacing w:after="200" w:afterAutospacing="0" w:line="276" w:lineRule="auto"/>
        <w:ind w:firstLine="567"/>
        <w:jc w:val="both"/>
      </w:pPr>
      <w:r w:rsidRPr="00E46336">
        <w:t>A Lei nº 13.467/201</w:t>
      </w:r>
      <w:r w:rsidR="00702FB1">
        <w:t>7</w:t>
      </w:r>
      <w:r w:rsidRPr="00E46336">
        <w:t xml:space="preserve">, </w:t>
      </w:r>
      <w:r w:rsidR="006A6A5F" w:rsidRPr="00E46336">
        <w:t>a</w:t>
      </w:r>
      <w:r w:rsidR="008375E9" w:rsidRPr="00E46336">
        <w:t xml:space="preserve"> </w:t>
      </w:r>
      <w:r w:rsidR="006A4A23" w:rsidRPr="00E46336">
        <w:t xml:space="preserve">Lei da </w:t>
      </w:r>
      <w:r w:rsidR="00931510" w:rsidRPr="00E46336">
        <w:t>R</w:t>
      </w:r>
      <w:r w:rsidR="008375E9" w:rsidRPr="00E46336">
        <w:t xml:space="preserve">eforma </w:t>
      </w:r>
      <w:r w:rsidR="009F2B70" w:rsidRPr="00E46336">
        <w:t>T</w:t>
      </w:r>
      <w:r w:rsidR="008375E9" w:rsidRPr="00E46336">
        <w:t xml:space="preserve">rabalhista, por meio da </w:t>
      </w:r>
      <w:r w:rsidR="005E7FB9" w:rsidRPr="00E46336">
        <w:t>alteração da redação do § 3º do art. 61</w:t>
      </w:r>
      <w:r w:rsidR="00C77DF3" w:rsidRPr="00E46336">
        <w:t>4</w:t>
      </w:r>
      <w:r w:rsidR="005E7FB9" w:rsidRPr="00E46336">
        <w:t xml:space="preserve"> d</w:t>
      </w:r>
      <w:r w:rsidR="008375E9" w:rsidRPr="00E46336">
        <w:t xml:space="preserve">a </w:t>
      </w:r>
      <w:r w:rsidR="00BB0EA2" w:rsidRPr="00E46336">
        <w:t xml:space="preserve">CLT - </w:t>
      </w:r>
      <w:r w:rsidR="008375E9" w:rsidRPr="00E46336">
        <w:t xml:space="preserve">Consolidação das Leis do Trabalho (DL nº 5.452/1943), </w:t>
      </w:r>
      <w:r w:rsidR="005E7FB9" w:rsidRPr="00E46336">
        <w:t xml:space="preserve">pretendeu </w:t>
      </w:r>
      <w:r w:rsidR="00837A72">
        <w:t xml:space="preserve">genericamente vedar </w:t>
      </w:r>
      <w:r w:rsidR="005E7FB9" w:rsidRPr="00E46336">
        <w:t>a ultratividade das normas coletivas.</w:t>
      </w:r>
    </w:p>
    <w:p w:rsidR="005E7FB9" w:rsidRPr="00E46336" w:rsidRDefault="005E7FB9" w:rsidP="00E46336">
      <w:pPr>
        <w:pStyle w:val="NormalWeb"/>
        <w:spacing w:after="200" w:afterAutospacing="0" w:line="276" w:lineRule="auto"/>
        <w:ind w:firstLine="567"/>
        <w:jc w:val="both"/>
      </w:pPr>
      <w:r w:rsidRPr="00E46336">
        <w:t>Dispõe o novel preceptivo que “</w:t>
      </w:r>
      <w:r w:rsidR="00C77DF3" w:rsidRPr="00E46336">
        <w:t>n</w:t>
      </w:r>
      <w:r w:rsidRPr="00E46336">
        <w:t>ão será permitido estipular duração de convenção coletiva ou acordo coletivo de trabalho superior a dois anos</w:t>
      </w:r>
      <w:r w:rsidR="00C77DF3" w:rsidRPr="00E46336">
        <w:t xml:space="preserve">, </w:t>
      </w:r>
      <w:r w:rsidR="00C77DF3" w:rsidRPr="00E46336">
        <w:rPr>
          <w:i/>
        </w:rPr>
        <w:t>sendo vedada a ultratividade</w:t>
      </w:r>
      <w:r w:rsidR="00C77DF3" w:rsidRPr="00E46336">
        <w:t>”</w:t>
      </w:r>
      <w:r w:rsidR="00702FB1">
        <w:t>.</w:t>
      </w:r>
      <w:r w:rsidR="00C77DF3" w:rsidRPr="00E46336">
        <w:t xml:space="preserve"> </w:t>
      </w:r>
      <w:r w:rsidRPr="00E46336">
        <w:t xml:space="preserve">      </w:t>
      </w:r>
    </w:p>
    <w:p w:rsidR="00581CBA" w:rsidRPr="00E46336" w:rsidRDefault="00581CBA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A temática da ultratividade das normas coletivas, ou seja, a relação entre as </w:t>
      </w:r>
      <w:r w:rsidR="00C77DF3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normas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das convenções coletivas, acordos coletivos e sentenças normativas com os contratos de trabalho, após o exaurimento do prazo de vigência, vem motivando amplo debate doutrinário e </w:t>
      </w:r>
      <w:r w:rsidR="0063676B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tem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suscitado </w:t>
      </w:r>
      <w:r w:rsidR="00C77DF3" w:rsidRPr="00E46336">
        <w:rPr>
          <w:rFonts w:ascii="Times New Roman" w:hAnsi="Times New Roman" w:cs="Times New Roman"/>
          <w:sz w:val="24"/>
          <w:szCs w:val="24"/>
          <w:lang w:eastAsia="pt-BR"/>
        </w:rPr>
        <w:t>forte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divergência jurisprudencial.</w:t>
      </w:r>
    </w:p>
    <w:p w:rsidR="00C77DF3" w:rsidRPr="00E46336" w:rsidRDefault="00C77DF3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77DF3" w:rsidRPr="00E46336" w:rsidRDefault="00C77DF3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Essa cizânia culminou com a aprovação, por meio da Lei da Reforma Trabalhista, </w:t>
      </w:r>
      <w:r w:rsidRPr="00E46336">
        <w:rPr>
          <w:rFonts w:ascii="Times New Roman" w:hAnsi="Times New Roman" w:cs="Times New Roman"/>
          <w:sz w:val="24"/>
          <w:szCs w:val="24"/>
        </w:rPr>
        <w:t>do § 3º do art. 614 da CLT, que almejou vedar a ultratividade das normas coletivas. A alteração legislativa, longe de p</w:t>
      </w:r>
      <w:r w:rsidR="00702FB1">
        <w:rPr>
          <w:rFonts w:ascii="Times New Roman" w:hAnsi="Times New Roman" w:cs="Times New Roman"/>
          <w:sz w:val="24"/>
          <w:szCs w:val="24"/>
        </w:rPr>
        <w:t>ô</w:t>
      </w:r>
      <w:r w:rsidRPr="00E46336">
        <w:rPr>
          <w:rFonts w:ascii="Times New Roman" w:hAnsi="Times New Roman" w:cs="Times New Roman"/>
          <w:sz w:val="24"/>
          <w:szCs w:val="24"/>
        </w:rPr>
        <w:t xml:space="preserve">r fim ao debate, terminou reacendendo </w:t>
      </w:r>
      <w:r w:rsidR="00BB0EA2" w:rsidRPr="00E46336">
        <w:rPr>
          <w:rFonts w:ascii="Times New Roman" w:hAnsi="Times New Roman" w:cs="Times New Roman"/>
          <w:sz w:val="24"/>
          <w:szCs w:val="24"/>
        </w:rPr>
        <w:t>a discussão</w:t>
      </w:r>
      <w:r w:rsidRPr="00E46336">
        <w:rPr>
          <w:rFonts w:ascii="Times New Roman" w:hAnsi="Times New Roman" w:cs="Times New Roman"/>
          <w:sz w:val="24"/>
          <w:szCs w:val="24"/>
        </w:rPr>
        <w:t xml:space="preserve">, </w:t>
      </w:r>
      <w:r w:rsidR="00BB0EA2" w:rsidRPr="00E46336">
        <w:rPr>
          <w:rFonts w:ascii="Times New Roman" w:hAnsi="Times New Roman" w:cs="Times New Roman"/>
          <w:sz w:val="24"/>
          <w:szCs w:val="24"/>
        </w:rPr>
        <w:t xml:space="preserve">impondo a análise da regra legal à luz da normatividade constitucional. </w:t>
      </w:r>
    </w:p>
    <w:p w:rsidR="00C77DF3" w:rsidRPr="00E46336" w:rsidRDefault="00C77DF3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B0EA2" w:rsidRPr="00E46336" w:rsidRDefault="00581CBA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Essa discussão, presente desde a formação inicial do Direito Coletivo do Trabalho, foi retomada recentemente de forma mais intensa em função da superveniência de dois precedentes judiciais</w:t>
      </w:r>
      <w:r w:rsidR="0063676B" w:rsidRPr="00E46336">
        <w:rPr>
          <w:rFonts w:ascii="Times New Roman" w:hAnsi="Times New Roman" w:cs="Times New Roman"/>
          <w:sz w:val="24"/>
          <w:szCs w:val="24"/>
          <w:lang w:eastAsia="pt-BR"/>
        </w:rPr>
        <w:t>, emanados do TST e do STF,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e </w:t>
      </w:r>
      <w:r w:rsidR="00BB0EA2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da alteração </w:t>
      </w:r>
      <w:r w:rsidR="0063676B" w:rsidRPr="00E46336"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="00BB0EA2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a redação do </w:t>
      </w:r>
      <w:r w:rsidR="00BB0EA2" w:rsidRPr="00E46336">
        <w:rPr>
          <w:rFonts w:ascii="Times New Roman" w:hAnsi="Times New Roman" w:cs="Times New Roman"/>
          <w:sz w:val="24"/>
          <w:szCs w:val="24"/>
        </w:rPr>
        <w:t>§ 3º do art. 614 da CLT</w:t>
      </w:r>
      <w:r w:rsidR="0063676B" w:rsidRPr="00E46336">
        <w:rPr>
          <w:rFonts w:ascii="Times New Roman" w:hAnsi="Times New Roman" w:cs="Times New Roman"/>
          <w:sz w:val="24"/>
          <w:szCs w:val="24"/>
        </w:rPr>
        <w:t>, por meio da Lei nº 13.467/2015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</w:p>
    <w:p w:rsidR="00BB0EA2" w:rsidRPr="00E46336" w:rsidRDefault="00BB0EA2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1CBA" w:rsidRPr="00E46336" w:rsidRDefault="00581CBA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Em primeiro lugar, cabe referir à superveniência da nova redação da Súmula nº 277 do Tribunal Superior do Trabalho, aprovada na </w:t>
      </w:r>
      <w:r w:rsidR="00702FB1">
        <w:rPr>
          <w:rFonts w:ascii="Times New Roman" w:hAnsi="Times New Roman" w:cs="Times New Roman"/>
          <w:sz w:val="24"/>
          <w:szCs w:val="24"/>
          <w:lang w:eastAsia="pt-BR"/>
        </w:rPr>
        <w:t>sessão do Tribunal Pleno de 14.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9.2017, por meio da Resolução nº 185/2012. </w:t>
      </w:r>
    </w:p>
    <w:p w:rsidR="00BB0EA2" w:rsidRPr="00E46336" w:rsidRDefault="00BB0EA2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B0EA2" w:rsidRPr="00E46336" w:rsidRDefault="00BB0EA2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1CBA" w:rsidRPr="00E46336" w:rsidRDefault="00702FB1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O TST, que antes adotav</w:t>
      </w:r>
      <w:r w:rsidR="00581CBA" w:rsidRPr="00E46336">
        <w:rPr>
          <w:rFonts w:ascii="Times New Roman" w:hAnsi="Times New Roman" w:cs="Times New Roman"/>
          <w:sz w:val="24"/>
          <w:szCs w:val="24"/>
          <w:lang w:eastAsia="pt-BR"/>
        </w:rPr>
        <w:t>a a tese de que as normas coletivas aderiam aos contratos de trabalho apenas pelo prazo de vigência dos respectivos instrumentos, rechaçando a ultratividade, passou a sufragar a tese da aderência limitada por revogação, consagrando a ultratividade relativa.</w:t>
      </w:r>
    </w:p>
    <w:p w:rsidR="00BB0EA2" w:rsidRPr="00E46336" w:rsidRDefault="00BB0EA2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1CBA" w:rsidRPr="00E46336" w:rsidRDefault="00581CBA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Para justificar a nova diretriz, a Corte Superior Trabalhista considerou que a jurisprudência da Seção de Dissídios Coletivos</w:t>
      </w:r>
      <w:r w:rsidR="00702FB1">
        <w:rPr>
          <w:rFonts w:ascii="Times New Roman" w:hAnsi="Times New Roman" w:cs="Times New Roman"/>
          <w:sz w:val="24"/>
          <w:szCs w:val="24"/>
          <w:lang w:eastAsia="pt-BR"/>
        </w:rPr>
        <w:t xml:space="preserve"> (SDC)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já sinalizava no sentido de admitir a eficácia da norma coletiva </w:t>
      </w:r>
      <w:r w:rsidR="00E46336">
        <w:rPr>
          <w:rFonts w:ascii="Times New Roman" w:hAnsi="Times New Roman" w:cs="Times New Roman"/>
          <w:sz w:val="24"/>
          <w:szCs w:val="24"/>
          <w:lang w:eastAsia="pt-BR"/>
        </w:rPr>
        <w:t>depois de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esgotado seu prazo de vigência, fixando como limite a superveniência de outra norma coletiva. </w:t>
      </w:r>
    </w:p>
    <w:p w:rsidR="00BB0EA2" w:rsidRPr="00E46336" w:rsidRDefault="00BB0EA2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1CBA" w:rsidRPr="00E46336" w:rsidRDefault="00581CBA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Esta jurisprudência da SDC </w:t>
      </w:r>
      <w:r w:rsidR="00BB0EA2" w:rsidRPr="00E46336">
        <w:rPr>
          <w:rFonts w:ascii="Times New Roman" w:hAnsi="Times New Roman" w:cs="Times New Roman"/>
          <w:sz w:val="24"/>
          <w:szCs w:val="24"/>
          <w:lang w:eastAsia="pt-BR"/>
        </w:rPr>
        <w:t>deu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origem a</w:t>
      </w:r>
      <w:r w:rsidR="00BB0EA2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o Precedente Normativo nº 120,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que assegurava a integração provisória das regras </w:t>
      </w:r>
      <w:r w:rsidR="00BB0EA2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contidas em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>sentença normativa aos contratos</w:t>
      </w:r>
      <w:r w:rsidR="00BB0EA2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de trabalho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, respeitada a possibilidade de revogação por nova sentença normativa, acordo coletivo ou </w:t>
      </w:r>
      <w:r w:rsidR="00BB0EA2" w:rsidRPr="00E46336">
        <w:rPr>
          <w:rFonts w:ascii="Times New Roman" w:hAnsi="Times New Roman" w:cs="Times New Roman"/>
          <w:sz w:val="24"/>
          <w:szCs w:val="24"/>
          <w:lang w:eastAsia="pt-BR"/>
        </w:rPr>
        <w:t>convenção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coletiva de trabalho.</w:t>
      </w:r>
    </w:p>
    <w:p w:rsidR="00BB0EA2" w:rsidRPr="00E46336" w:rsidRDefault="00BB0EA2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64176" w:rsidRPr="00E46336" w:rsidRDefault="00581CBA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Considerou também que os precedentes do STF, que serviram de apoio para a antiga redação da Súmula nº 277, aludiam ao </w:t>
      </w:r>
      <w:r w:rsidR="00E46336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§ 1º </w:t>
      </w:r>
      <w:r w:rsidR="00E46336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art. 142 da Emenda Constitucional de 1969, desconsiderando a superveniência do </w:t>
      </w:r>
      <w:r w:rsidR="00E46336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§ 2º </w:t>
      </w:r>
      <w:r w:rsidR="00E46336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art. 114 </w:t>
      </w:r>
      <w:r w:rsidR="00364176" w:rsidRPr="00E46336">
        <w:rPr>
          <w:rFonts w:ascii="Times New Roman" w:hAnsi="Times New Roman" w:cs="Times New Roman"/>
          <w:sz w:val="24"/>
          <w:szCs w:val="24"/>
          <w:lang w:eastAsia="pt-BR"/>
        </w:rPr>
        <w:t>da C</w:t>
      </w:r>
      <w:r w:rsidR="00E46336">
        <w:rPr>
          <w:rFonts w:ascii="Times New Roman" w:hAnsi="Times New Roman" w:cs="Times New Roman"/>
          <w:sz w:val="24"/>
          <w:szCs w:val="24"/>
          <w:lang w:eastAsia="pt-BR"/>
        </w:rPr>
        <w:t>onstituição Federal</w:t>
      </w:r>
      <w:r w:rsidR="00364176" w:rsidRPr="00E46336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364176" w:rsidRPr="00E46336" w:rsidRDefault="0036417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64176" w:rsidRPr="00E46336" w:rsidRDefault="0036417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O dispositivo, na redação original, reconhecia o poder normativo da Justiça do Trabalho para “estabelecer normas e condições, respeitadas as disposições convencionais e legais mínimas de proteção ao trabalho”</w:t>
      </w:r>
      <w:r w:rsidR="00702FB1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364176" w:rsidRPr="00E46336" w:rsidRDefault="0036417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1CBA" w:rsidRPr="00E46336" w:rsidRDefault="0036417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Na redação atual, aprovada pela EC nº 45/2004, o preceptivo estabelece que</w:t>
      </w:r>
      <w:r w:rsidR="0063676B" w:rsidRPr="00E46336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81CBA" w:rsidRPr="00E46336">
        <w:rPr>
          <w:rFonts w:ascii="Times New Roman" w:hAnsi="Times New Roman" w:cs="Times New Roman"/>
          <w:sz w:val="24"/>
          <w:szCs w:val="24"/>
          <w:lang w:eastAsia="pt-BR"/>
        </w:rPr>
        <w:t>ajuizado o dissídio coletivo de natureza econômica, a Justiça do Trabalho decidirá o conflito, “respeitadas as disposições mínimas legais de proteção ao trabalho, bem como as convencionadas anteriormente”</w:t>
      </w:r>
      <w:r w:rsidR="00702FB1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BB0EA2" w:rsidRPr="00E46336" w:rsidRDefault="00BB0EA2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1CBA" w:rsidRPr="00E46336" w:rsidRDefault="00581CBA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O segundo aspecto diz respeito à decisão proferida na Ação de Descumprimento de Preceito Fundamental nº 323, ajuizada pela Confederação Nacional dos Estabelecimentos de Ensino (Confenen) junto ao Supremo Tribunal Federal, questionando a nova redação da Súmula nº 277 do </w:t>
      </w:r>
      <w:r w:rsidR="00364176" w:rsidRPr="00E46336">
        <w:rPr>
          <w:rFonts w:ascii="Times New Roman" w:hAnsi="Times New Roman" w:cs="Times New Roman"/>
          <w:sz w:val="24"/>
          <w:szCs w:val="24"/>
          <w:lang w:eastAsia="pt-BR"/>
        </w:rPr>
        <w:t>TST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</w:p>
    <w:p w:rsidR="00364176" w:rsidRPr="00E46336" w:rsidRDefault="0036417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1CBA" w:rsidRPr="00E46336" w:rsidRDefault="00581CBA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Para deferir a medida liminar, suspendendo todos os processos em curso na Justiça do Trabalho que versem sobre a aplicação da ultratividade de normas coletivas, o relator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no STF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considerou insustentável o entendimento jurisprudencial conferido pelos tribunais trabalhistas ao interpretar o art. 114, § 2º, da </w:t>
      </w:r>
      <w:r w:rsidR="0018017C" w:rsidRPr="00E46336">
        <w:rPr>
          <w:rFonts w:ascii="Times New Roman" w:hAnsi="Times New Roman" w:cs="Times New Roman"/>
          <w:sz w:val="24"/>
          <w:szCs w:val="24"/>
          <w:lang w:eastAsia="pt-BR"/>
        </w:rPr>
        <w:t>CF.</w:t>
      </w:r>
    </w:p>
    <w:p w:rsidR="00364176" w:rsidRPr="00E46336" w:rsidRDefault="0036417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1CBA" w:rsidRPr="00E46336" w:rsidRDefault="00581CBA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A decisão liminar partiu do pressuposto de que a mudança de posicionamento teria ocorrido “sem nenhuma base sólida, mas fundamentada apenas em suposta autorização advinda de mera alteração redacional de dispositivo constitucional”</w:t>
      </w:r>
      <w:r w:rsidR="00702FB1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Segundo a decisão, a ultratividade integraria uma lógica que beneficiaria apenas os trabalhadores, sem o devido contrabalanceamento em relação aos interesses dos empregadores.</w:t>
      </w:r>
    </w:p>
    <w:p w:rsidR="0018017C" w:rsidRPr="00E46336" w:rsidRDefault="0018017C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1CBA" w:rsidRPr="00E46336" w:rsidRDefault="00581CBA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O terceiro ponto a afetar diretamente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>o tema d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a ultratividade decorre da alteração da </w:t>
      </w:r>
      <w:r w:rsidR="009D2565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regra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="00E46336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§ 3º </w:t>
      </w:r>
      <w:r w:rsidR="00E46336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>art. 614</w:t>
      </w:r>
      <w:r w:rsidR="00E4633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da </w:t>
      </w:r>
      <w:r w:rsidR="009D2565" w:rsidRPr="00E46336">
        <w:rPr>
          <w:rFonts w:ascii="Times New Roman" w:hAnsi="Times New Roman" w:cs="Times New Roman"/>
          <w:sz w:val="24"/>
          <w:szCs w:val="24"/>
          <w:lang w:eastAsia="pt-BR"/>
        </w:rPr>
        <w:t>CLT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>, por meio da Lei nº 13.467</w:t>
      </w:r>
      <w:r w:rsidR="009D2565" w:rsidRPr="00E46336">
        <w:rPr>
          <w:rFonts w:ascii="Times New Roman" w:hAnsi="Times New Roman" w:cs="Times New Roman"/>
          <w:sz w:val="24"/>
          <w:szCs w:val="24"/>
          <w:lang w:eastAsia="pt-BR"/>
        </w:rPr>
        <w:t>/201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7.  A nova redação, além de reafirmar a proibição de que os instrumentos coletivos ostentem duração superior a dois anos, </w:t>
      </w:r>
      <w:r w:rsidR="009D2565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pretende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>veda</w:t>
      </w:r>
      <w:r w:rsidR="009D2565" w:rsidRPr="00E46336"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expressamente a ultratividade. </w:t>
      </w:r>
    </w:p>
    <w:p w:rsidR="00E9263C" w:rsidRPr="00E46336" w:rsidRDefault="00E9263C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37F0D" w:rsidRPr="00E46336" w:rsidRDefault="00E9263C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Posto o debate contemporâneo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, a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>ultratividade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>, ultra-atividade, efeitos ultrativos, permanência ou incorporação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das normas coletivas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corresponde à possibilidade de as cláusulas contidas nos instrumentos coletivos, de natureza normativa, </w:t>
      </w:r>
      <w:r w:rsidR="00E46336">
        <w:rPr>
          <w:rFonts w:ascii="Times New Roman" w:hAnsi="Times New Roman" w:cs="Times New Roman"/>
          <w:sz w:val="24"/>
          <w:szCs w:val="24"/>
          <w:lang w:eastAsia="pt-BR"/>
        </w:rPr>
        <w:t xml:space="preserve">ainda que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decorrido seu prazo de vigência, permanecerem produzindo efeitos nos contratos individuais de trabalho.</w:t>
      </w:r>
    </w:p>
    <w:p w:rsidR="00E9263C" w:rsidRPr="00E46336" w:rsidRDefault="00E9263C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9263C" w:rsidRPr="00E46336" w:rsidRDefault="00B229C2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No</w:t>
      </w:r>
      <w:r w:rsidR="00AF78F9" w:rsidRPr="00E46336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sistemas jurídicos, há três modelos a respeito das relações entre as normas coleti</w:t>
      </w:r>
      <w:r w:rsidR="00AF78F9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vas e os contratos de trabalho: i) a aderência </w:t>
      </w:r>
      <w:r w:rsidR="00FD79E6" w:rsidRPr="00E46336">
        <w:rPr>
          <w:rFonts w:ascii="Times New Roman" w:hAnsi="Times New Roman" w:cs="Times New Roman"/>
          <w:sz w:val="24"/>
          <w:szCs w:val="24"/>
          <w:lang w:eastAsia="pt-BR"/>
        </w:rPr>
        <w:t>ir</w:t>
      </w:r>
      <w:r w:rsidR="00AF78F9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restrita, ou ultratividade plena; ii) a aderência limitada pelo prazo, ou sem ultratividade; iii) e aderência limitada pela revogação, ou ultratividade relativa. </w:t>
      </w:r>
    </w:p>
    <w:p w:rsidR="00AF78F9" w:rsidRPr="00E46336" w:rsidRDefault="00AF78F9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F78F9" w:rsidRPr="00E46336" w:rsidRDefault="00FD79E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Na aderência irrestrita, estabelecido o direito por meio da negociação coletiva, o mesmo ingressa no patrimônio jurídico do trabalhador, não podendo ser suprimido de seu contrato de trabalho, na linha do art. 468 da CLT.</w:t>
      </w:r>
    </w:p>
    <w:p w:rsidR="00FD79E6" w:rsidRPr="00E46336" w:rsidRDefault="00FD79E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D79E6" w:rsidRPr="00E46336" w:rsidRDefault="00FD79E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Na aderência limitada pelo prazo</w:t>
      </w:r>
      <w:r w:rsidR="009A44F3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AC0ADC">
        <w:rPr>
          <w:rFonts w:ascii="Times New Roman" w:hAnsi="Times New Roman" w:cs="Times New Roman"/>
          <w:sz w:val="24"/>
          <w:szCs w:val="24"/>
          <w:lang w:eastAsia="pt-BR"/>
        </w:rPr>
        <w:t>a que se refere</w:t>
      </w:r>
      <w:r w:rsidR="009A44F3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a Lei nº 13.467/2017, </w:t>
      </w:r>
      <w:r w:rsidR="00702FB1">
        <w:rPr>
          <w:rFonts w:ascii="Times New Roman" w:hAnsi="Times New Roman" w:cs="Times New Roman"/>
          <w:sz w:val="24"/>
          <w:szCs w:val="24"/>
          <w:lang w:eastAsia="pt-BR"/>
        </w:rPr>
        <w:t>as normas coletivas somente tê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m eficácia enquanto persistir o prazo de vigência estabelecido no ajuste, não se incorporando aos contratos </w:t>
      </w:r>
      <w:r w:rsidR="00AC0ADC">
        <w:rPr>
          <w:rFonts w:ascii="Times New Roman" w:hAnsi="Times New Roman" w:cs="Times New Roman"/>
          <w:sz w:val="24"/>
          <w:szCs w:val="24"/>
          <w:lang w:eastAsia="pt-BR"/>
        </w:rPr>
        <w:t xml:space="preserve">individuais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>de trabalho</w:t>
      </w:r>
      <w:r w:rsidR="009A44F3" w:rsidRPr="00E46336">
        <w:rPr>
          <w:rFonts w:ascii="Times New Roman" w:hAnsi="Times New Roman" w:cs="Times New Roman"/>
          <w:sz w:val="24"/>
          <w:szCs w:val="24"/>
          <w:lang w:eastAsia="pt-BR"/>
        </w:rPr>
        <w:t>, r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essalvadas matérias atinentes à remuneração. </w:t>
      </w:r>
    </w:p>
    <w:p w:rsidR="00FD79E6" w:rsidRPr="00E46336" w:rsidRDefault="00FD79E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D79E6" w:rsidRPr="00E46336" w:rsidRDefault="00FD79E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Na aderência limitada por revogação, as normas coletivas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>mantém sua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eficácia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>até a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superveniência de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novo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instrumento coletivo regulando a matéria de forma diversa. </w:t>
      </w:r>
      <w:r w:rsidR="009A44F3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O raciocínio jurídico é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>idêntico ao da</w:t>
      </w:r>
      <w:r w:rsidR="009A44F3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sucessão de leis no tempo, quando a superveniência de novo diploma normativo revoga, expressa ou tacitamente, o diploma anterior. </w:t>
      </w:r>
    </w:p>
    <w:p w:rsidR="009A44F3" w:rsidRPr="00E46336" w:rsidRDefault="009A44F3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879B5" w:rsidRPr="00E46336" w:rsidRDefault="009A44F3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A CF,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>no § 2º</w:t>
      </w:r>
      <w:r w:rsidR="00702FB1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do a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rt. 114, </w:t>
      </w:r>
      <w:r w:rsidR="00E879B5" w:rsidRPr="00E46336">
        <w:rPr>
          <w:rFonts w:ascii="Times New Roman" w:hAnsi="Times New Roman" w:cs="Times New Roman"/>
          <w:sz w:val="24"/>
          <w:szCs w:val="24"/>
          <w:lang w:eastAsia="pt-BR"/>
        </w:rPr>
        <w:t>ao estabe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lecer que a Justiça do Trabalho, </w:t>
      </w:r>
      <w:r w:rsidR="00E879B5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no dissídio coletivo de natureza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>econômica</w:t>
      </w:r>
      <w:r w:rsidR="00E879B5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, decidirá o conflito, “respeitadas as disposições mínimas legais de proteção ao trabalho, bem como as convencionadas anteriormente”, consagrou expressamente o modelo da aderência limitada por revogação. </w:t>
      </w:r>
    </w:p>
    <w:p w:rsidR="00E879B5" w:rsidRPr="00E46336" w:rsidRDefault="00E879B5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A44F3" w:rsidRPr="00E46336" w:rsidRDefault="00E879B5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</w:rPr>
        <w:t xml:space="preserve">O § 3º do art. 614 da CLT, com a redação conferida pela Lei nº 13.467/2017, pretendeu instituir o modelo da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>aderência limitada pelo prazo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>. Essa opção legislativa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i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ncide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em ofensa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direta e literal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à disposição contida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>no § 2º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art. 114 da CF, como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também viola </w:t>
      </w:r>
      <w:r w:rsidR="0005107D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direta e literalmente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o conteúdo do art. 7º, </w:t>
      </w:r>
      <w:r w:rsidRPr="00E46336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caput,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>da CF, que consagra no âmbito trabalhista o princípio da vedação d</w:t>
      </w:r>
      <w:r w:rsidR="00AC0ADC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retrocesso social. </w:t>
      </w:r>
    </w:p>
    <w:p w:rsidR="00050CA6" w:rsidRPr="00E46336" w:rsidRDefault="00050CA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2147" w:rsidRPr="00E46336" w:rsidRDefault="002D2147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E85166" w:rsidRPr="00E46336" w:rsidRDefault="002D2147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A normatização constitucional em favor da ultratividade estimula o empregador à negociação coletiva, com o intuito de alcançar as mudanças que entender pertinentes no instrumento coletivo anterior. A falta de ultratividade, ao contrário, incentiva a inércia do empregador, que alcançará, ao término da vigência, o fim de todas as normas pactuadas anteriormente. </w:t>
      </w:r>
    </w:p>
    <w:p w:rsidR="009A44F3" w:rsidRPr="00E46336" w:rsidRDefault="009A44F3" w:rsidP="00E46336">
      <w:pPr>
        <w:pStyle w:val="Textodenotaderodap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D79E6" w:rsidRPr="00E46336" w:rsidRDefault="00FE5C62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Já a normatização constitucional da vedação do retrocesso social determina o constante aperfeiçoamento das relações de trabalho, por meio da expansão progressiva de direitos e garantias. Isso está bem evidenciado no art. 7º, </w:t>
      </w:r>
      <w:r w:rsidRPr="00E46336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caput,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da CF, ao enunciar os direitos fundamentais dos trabalhadores, “sem prejuízo de outros que visem à melhoria de sua condição social”. </w:t>
      </w:r>
    </w:p>
    <w:p w:rsidR="00AE5ADE" w:rsidRPr="00E46336" w:rsidRDefault="00AE5ADE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E5ADE" w:rsidRPr="00E46336" w:rsidRDefault="00AE5ADE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As disposições do</w:t>
      </w:r>
      <w:r w:rsidR="00AC0AD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C0ADC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§ 2º </w:t>
      </w:r>
      <w:r w:rsidR="00AC0ADC">
        <w:rPr>
          <w:rFonts w:ascii="Times New Roman" w:hAnsi="Times New Roman" w:cs="Times New Roman"/>
          <w:sz w:val="24"/>
          <w:szCs w:val="24"/>
          <w:lang w:eastAsia="pt-BR"/>
        </w:rPr>
        <w:t>do a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>rt. 114</w:t>
      </w:r>
      <w:r w:rsidR="00AC0ADC">
        <w:rPr>
          <w:rFonts w:ascii="Times New Roman" w:hAnsi="Times New Roman" w:cs="Times New Roman"/>
          <w:sz w:val="24"/>
          <w:szCs w:val="24"/>
          <w:lang w:eastAsia="pt-BR"/>
        </w:rPr>
        <w:t xml:space="preserve"> e do </w:t>
      </w:r>
      <w:r w:rsidR="00AC0ADC">
        <w:rPr>
          <w:rFonts w:ascii="Times New Roman" w:hAnsi="Times New Roman" w:cs="Times New Roman"/>
          <w:i/>
          <w:sz w:val="24"/>
          <w:szCs w:val="24"/>
          <w:lang w:eastAsia="pt-BR"/>
        </w:rPr>
        <w:t>caput</w:t>
      </w:r>
      <w:r w:rsidR="00AC0ADC">
        <w:rPr>
          <w:rFonts w:ascii="Times New Roman" w:hAnsi="Times New Roman" w:cs="Times New Roman"/>
          <w:sz w:val="24"/>
          <w:szCs w:val="24"/>
          <w:lang w:eastAsia="pt-BR"/>
        </w:rPr>
        <w:t xml:space="preserve"> do art.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>7º</w:t>
      </w:r>
      <w:r w:rsidRPr="00E46336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</w:t>
      </w:r>
      <w:r w:rsidR="00AC0ADC">
        <w:rPr>
          <w:rFonts w:ascii="Times New Roman" w:hAnsi="Times New Roman" w:cs="Times New Roman"/>
          <w:sz w:val="24"/>
          <w:szCs w:val="24"/>
          <w:lang w:eastAsia="pt-BR"/>
        </w:rPr>
        <w:t>da Constituição Federal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, por certo, não impõem a imutabilidade das normas coletivas. </w:t>
      </w:r>
      <w:r w:rsidR="00AC0ADC">
        <w:rPr>
          <w:rFonts w:ascii="Times New Roman" w:hAnsi="Times New Roman" w:cs="Times New Roman"/>
          <w:sz w:val="24"/>
          <w:szCs w:val="24"/>
          <w:lang w:eastAsia="pt-BR"/>
        </w:rPr>
        <w:t>Ambos os preceptivos admitem que,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circunstancialmente</w:t>
      </w:r>
      <w:r w:rsidR="00AC0ADC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3A0F3B">
        <w:rPr>
          <w:rFonts w:ascii="Times New Roman" w:hAnsi="Times New Roman" w:cs="Times New Roman"/>
          <w:sz w:val="24"/>
          <w:szCs w:val="24"/>
          <w:lang w:eastAsia="pt-BR"/>
        </w:rPr>
        <w:t>em situações excepcionais e a título provisório, pode haver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adequação das condições de trabalho, mas desde que respeitados os limites impostos pela ordem jurídica.</w:t>
      </w:r>
    </w:p>
    <w:p w:rsidR="00AE5ADE" w:rsidRPr="00E46336" w:rsidRDefault="00AE5ADE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E5ADE" w:rsidRPr="00E46336" w:rsidRDefault="006444E2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Um desses limites é</w:t>
      </w:r>
      <w:r w:rsidR="00AE5ADE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a ultratividade </w:t>
      </w:r>
      <w:r w:rsidR="00952D3B" w:rsidRPr="00E46336">
        <w:rPr>
          <w:rFonts w:ascii="Times New Roman" w:hAnsi="Times New Roman" w:cs="Times New Roman"/>
          <w:sz w:val="24"/>
          <w:szCs w:val="24"/>
          <w:lang w:eastAsia="pt-BR"/>
        </w:rPr>
        <w:t>por revogação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das normas coletivas, extraída de forma direta e imediata da normatização constitucional. Essa normatização</w:t>
      </w:r>
      <w:r w:rsidR="00952D3B" w:rsidRPr="00E46336">
        <w:rPr>
          <w:rFonts w:ascii="Times New Roman" w:hAnsi="Times New Roman" w:cs="Times New Roman"/>
          <w:sz w:val="24"/>
          <w:szCs w:val="24"/>
          <w:lang w:eastAsia="pt-BR"/>
        </w:rPr>
        <w:t>, além de atender à lógica da preservação dos direitos que visam à melhoria das condições sociais dos trabalhadores, produz o equilíbrio de forças na negociação coletiva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>, visando à paridade de armas dos sujeitos coletivos</w:t>
      </w:r>
      <w:r w:rsidR="00952D3B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</w:p>
    <w:p w:rsidR="00FD79E6" w:rsidRPr="00E46336" w:rsidRDefault="00FD79E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C68D5" w:rsidRPr="00E46336" w:rsidRDefault="008C2B89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  <w:lang w:eastAsia="pt-BR"/>
        </w:rPr>
        <w:t>Como se sabe, as normas constitucionais servem para interpretar, bloquear e integrar as regras infraconstitucionais existentes. Não pode o aplica</w:t>
      </w:r>
      <w:r w:rsidR="00AD3376" w:rsidRPr="00E46336">
        <w:rPr>
          <w:rFonts w:ascii="Times New Roman" w:hAnsi="Times New Roman" w:cs="Times New Roman"/>
          <w:sz w:val="24"/>
          <w:szCs w:val="24"/>
          <w:lang w:eastAsia="pt-BR"/>
        </w:rPr>
        <w:t>dor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da lei, </w:t>
      </w:r>
      <w:r w:rsidR="00AD3376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em razão de suas preferências pessoais,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desconsiderar, deixar de lado ou pular uma regra legal. Mas tem o dever de </w:t>
      </w:r>
      <w:r w:rsidR="00EC68D5" w:rsidRPr="00E46336">
        <w:rPr>
          <w:rFonts w:ascii="Times New Roman" w:hAnsi="Times New Roman" w:cs="Times New Roman"/>
          <w:sz w:val="24"/>
          <w:szCs w:val="24"/>
          <w:lang w:eastAsia="pt-BR"/>
        </w:rPr>
        <w:t>aferir sua compatibilidade com a Constituição</w:t>
      </w:r>
      <w:r w:rsidR="00702FB1">
        <w:rPr>
          <w:rFonts w:ascii="Times New Roman" w:hAnsi="Times New Roman" w:cs="Times New Roman"/>
          <w:sz w:val="24"/>
          <w:szCs w:val="24"/>
          <w:lang w:eastAsia="pt-BR"/>
        </w:rPr>
        <w:t xml:space="preserve"> Federal</w:t>
      </w:r>
      <w:r w:rsidR="00EC68D5" w:rsidRPr="00E46336">
        <w:rPr>
          <w:rFonts w:ascii="Times New Roman" w:hAnsi="Times New Roman" w:cs="Times New Roman"/>
          <w:sz w:val="24"/>
          <w:szCs w:val="24"/>
          <w:lang w:eastAsia="pt-BR"/>
        </w:rPr>
        <w:t>, afastando-a</w:t>
      </w:r>
      <w:r w:rsidR="00AD3376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quando se tratar de regra inconstitucional</w:t>
      </w:r>
      <w:r w:rsidR="00EC68D5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</w:p>
    <w:p w:rsidR="00AD3376" w:rsidRPr="00E46336" w:rsidRDefault="00AD337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D3376" w:rsidRPr="00E46336" w:rsidRDefault="003A0F3B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8C2B89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regra do </w:t>
      </w:r>
      <w:r w:rsidR="008C2B89" w:rsidRPr="00E46336">
        <w:rPr>
          <w:rFonts w:ascii="Times New Roman" w:hAnsi="Times New Roman" w:cs="Times New Roman"/>
          <w:sz w:val="24"/>
          <w:szCs w:val="24"/>
        </w:rPr>
        <w:t>§ 3º do art. 614 da CLT</w:t>
      </w:r>
      <w:r w:rsidR="00EC68D5" w:rsidRPr="00E46336">
        <w:rPr>
          <w:rFonts w:ascii="Times New Roman" w:hAnsi="Times New Roman" w:cs="Times New Roman"/>
          <w:sz w:val="24"/>
          <w:szCs w:val="24"/>
        </w:rPr>
        <w:t xml:space="preserve">, ao pretender </w:t>
      </w:r>
      <w:r w:rsidR="00837A72">
        <w:rPr>
          <w:rFonts w:ascii="Times New Roman" w:hAnsi="Times New Roman" w:cs="Times New Roman"/>
          <w:sz w:val="24"/>
          <w:szCs w:val="24"/>
        </w:rPr>
        <w:t>vedar</w:t>
      </w:r>
      <w:r w:rsidR="00EC68D5" w:rsidRPr="00E46336">
        <w:rPr>
          <w:rFonts w:ascii="Times New Roman" w:hAnsi="Times New Roman" w:cs="Times New Roman"/>
          <w:sz w:val="24"/>
          <w:szCs w:val="24"/>
        </w:rPr>
        <w:t xml:space="preserve"> </w:t>
      </w:r>
      <w:r w:rsidR="00166B16">
        <w:rPr>
          <w:rFonts w:ascii="Times New Roman" w:hAnsi="Times New Roman" w:cs="Times New Roman"/>
          <w:sz w:val="24"/>
          <w:szCs w:val="24"/>
        </w:rPr>
        <w:t xml:space="preserve">genericamente </w:t>
      </w:r>
      <w:r w:rsidR="00EC68D5" w:rsidRPr="00E46336">
        <w:rPr>
          <w:rFonts w:ascii="Times New Roman" w:hAnsi="Times New Roman" w:cs="Times New Roman"/>
          <w:sz w:val="24"/>
          <w:szCs w:val="24"/>
        </w:rPr>
        <w:t>a ultratividade das normas coletivas, é man</w:t>
      </w:r>
      <w:r w:rsidR="00AD3376" w:rsidRPr="00E46336">
        <w:rPr>
          <w:rFonts w:ascii="Times New Roman" w:hAnsi="Times New Roman" w:cs="Times New Roman"/>
          <w:sz w:val="24"/>
          <w:szCs w:val="24"/>
        </w:rPr>
        <w:t xml:space="preserve">ifestamente </w:t>
      </w:r>
      <w:r w:rsidR="00EC68D5" w:rsidRPr="00E46336">
        <w:rPr>
          <w:rFonts w:ascii="Times New Roman" w:hAnsi="Times New Roman" w:cs="Times New Roman"/>
          <w:sz w:val="24"/>
          <w:szCs w:val="24"/>
        </w:rPr>
        <w:t xml:space="preserve">incompatível com o ordenamento constitucional, </w:t>
      </w:r>
      <w:r w:rsidR="00AD3376" w:rsidRPr="00E46336">
        <w:rPr>
          <w:rFonts w:ascii="Times New Roman" w:hAnsi="Times New Roman" w:cs="Times New Roman"/>
          <w:sz w:val="24"/>
          <w:szCs w:val="24"/>
        </w:rPr>
        <w:t xml:space="preserve">por incorrer em ofensa direta e literal ao 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§ 2º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="00AD3376" w:rsidRPr="00E46336">
        <w:rPr>
          <w:rFonts w:ascii="Times New Roman" w:hAnsi="Times New Roman" w:cs="Times New Roman"/>
          <w:sz w:val="24"/>
          <w:szCs w:val="24"/>
          <w:lang w:eastAsia="pt-BR"/>
        </w:rPr>
        <w:t>art. 114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D3376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da CF, que garante </w:t>
      </w:r>
      <w:r w:rsidR="00AD3376" w:rsidRPr="00E46336">
        <w:rPr>
          <w:rFonts w:ascii="Times New Roman" w:hAnsi="Times New Roman" w:cs="Times New Roman"/>
          <w:sz w:val="24"/>
          <w:szCs w:val="24"/>
        </w:rPr>
        <w:t xml:space="preserve">o respeito às disposições mínimas </w:t>
      </w:r>
      <w:r w:rsidR="0071716B" w:rsidRPr="00E46336">
        <w:rPr>
          <w:rFonts w:ascii="Times New Roman" w:hAnsi="Times New Roman" w:cs="Times New Roman"/>
          <w:sz w:val="24"/>
          <w:szCs w:val="24"/>
        </w:rPr>
        <w:t xml:space="preserve">convencionadas anteriormente </w:t>
      </w:r>
      <w:r w:rsidR="00AD3376" w:rsidRPr="00E46336">
        <w:rPr>
          <w:rFonts w:ascii="Times New Roman" w:hAnsi="Times New Roman" w:cs="Times New Roman"/>
          <w:sz w:val="24"/>
          <w:szCs w:val="24"/>
        </w:rPr>
        <w:t xml:space="preserve">de proteção ao trabalho, e ao </w:t>
      </w:r>
      <w:r w:rsidRPr="00E46336">
        <w:rPr>
          <w:rFonts w:ascii="Times New Roman" w:hAnsi="Times New Roman" w:cs="Times New Roman"/>
          <w:i/>
          <w:sz w:val="24"/>
          <w:szCs w:val="24"/>
          <w:lang w:eastAsia="pt-BR"/>
        </w:rPr>
        <w:t>caput</w:t>
      </w:r>
      <w:r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="00AD3376" w:rsidRPr="00E46336">
        <w:rPr>
          <w:rFonts w:ascii="Times New Roman" w:hAnsi="Times New Roman" w:cs="Times New Roman"/>
          <w:sz w:val="24"/>
          <w:szCs w:val="24"/>
          <w:lang w:eastAsia="pt-BR"/>
        </w:rPr>
        <w:t>art. 7º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D3376" w:rsidRPr="00E46336">
        <w:rPr>
          <w:rFonts w:ascii="Times New Roman" w:hAnsi="Times New Roman" w:cs="Times New Roman"/>
          <w:sz w:val="24"/>
          <w:szCs w:val="24"/>
          <w:lang w:eastAsia="pt-BR"/>
        </w:rPr>
        <w:t>da CF, que consagra no âmbito trabalhista o princípio da vedação d</w:t>
      </w:r>
      <w:r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AD3376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retrocesso social. </w:t>
      </w:r>
    </w:p>
    <w:p w:rsidR="00FD79E6" w:rsidRPr="00E46336" w:rsidRDefault="00FD79E6" w:rsidP="00E46336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7107E" w:rsidRDefault="00E7107E" w:rsidP="00E46336">
      <w:pPr>
        <w:pStyle w:val="Textodenotaderoda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07E" w:rsidRDefault="00E7107E" w:rsidP="00E46336">
      <w:pPr>
        <w:pStyle w:val="Textodenotaderoda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D4F" w:rsidRPr="00E46336" w:rsidRDefault="00A43D4F" w:rsidP="00E46336">
      <w:pPr>
        <w:pStyle w:val="Textodenotaderoda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36"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:rsidR="009F32DC" w:rsidRPr="00E46336" w:rsidRDefault="009F32DC" w:rsidP="00E46336">
      <w:pPr>
        <w:pStyle w:val="Textodenotaderoda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6B" w:rsidRPr="00E46336" w:rsidRDefault="00B60E71" w:rsidP="0071716B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46336">
        <w:rPr>
          <w:rFonts w:ascii="Times New Roman" w:hAnsi="Times New Roman" w:cs="Times New Roman"/>
          <w:sz w:val="24"/>
          <w:szCs w:val="24"/>
        </w:rPr>
        <w:t>D</w:t>
      </w:r>
      <w:r w:rsidR="00F70EF7" w:rsidRPr="00E46336">
        <w:rPr>
          <w:rFonts w:ascii="Times New Roman" w:hAnsi="Times New Roman" w:cs="Times New Roman"/>
          <w:sz w:val="24"/>
          <w:szCs w:val="24"/>
        </w:rPr>
        <w:t>efende-se a tese</w:t>
      </w:r>
      <w:r w:rsidR="009F6EC4" w:rsidRPr="00E46336">
        <w:rPr>
          <w:rFonts w:ascii="Times New Roman" w:hAnsi="Times New Roman" w:cs="Times New Roman"/>
          <w:sz w:val="24"/>
          <w:szCs w:val="24"/>
        </w:rPr>
        <w:t xml:space="preserve"> de que</w:t>
      </w:r>
      <w:r w:rsidRPr="00E46336">
        <w:rPr>
          <w:rFonts w:ascii="Times New Roman" w:hAnsi="Times New Roman" w:cs="Times New Roman"/>
          <w:sz w:val="24"/>
          <w:szCs w:val="24"/>
        </w:rPr>
        <w:t xml:space="preserve"> </w:t>
      </w:r>
      <w:r w:rsidR="0009489A" w:rsidRPr="00E46336">
        <w:rPr>
          <w:rFonts w:ascii="Times New Roman" w:hAnsi="Times New Roman" w:cs="Times New Roman"/>
          <w:sz w:val="24"/>
          <w:szCs w:val="24"/>
        </w:rPr>
        <w:t xml:space="preserve">a </w:t>
      </w:r>
      <w:r w:rsidR="0071716B" w:rsidRPr="00E46336">
        <w:rPr>
          <w:rFonts w:ascii="Times New Roman" w:hAnsi="Times New Roman" w:cs="Times New Roman"/>
          <w:sz w:val="24"/>
          <w:szCs w:val="24"/>
        </w:rPr>
        <w:t>regra do</w:t>
      </w:r>
      <w:r w:rsidR="0071716B">
        <w:rPr>
          <w:rFonts w:ascii="Times New Roman" w:hAnsi="Times New Roman" w:cs="Times New Roman"/>
          <w:sz w:val="24"/>
          <w:szCs w:val="24"/>
        </w:rPr>
        <w:t xml:space="preserve"> </w:t>
      </w:r>
      <w:r w:rsidR="0071716B" w:rsidRPr="00E46336">
        <w:rPr>
          <w:rFonts w:ascii="Times New Roman" w:hAnsi="Times New Roman" w:cs="Times New Roman"/>
          <w:sz w:val="24"/>
          <w:szCs w:val="24"/>
        </w:rPr>
        <w:t>§ 3º</w:t>
      </w:r>
      <w:r w:rsidR="0071716B">
        <w:rPr>
          <w:rFonts w:ascii="Times New Roman" w:hAnsi="Times New Roman" w:cs="Times New Roman"/>
          <w:sz w:val="24"/>
          <w:szCs w:val="24"/>
        </w:rPr>
        <w:t xml:space="preserve"> do</w:t>
      </w:r>
      <w:r w:rsidR="0071716B" w:rsidRPr="00E46336">
        <w:rPr>
          <w:rFonts w:ascii="Times New Roman" w:hAnsi="Times New Roman" w:cs="Times New Roman"/>
          <w:sz w:val="24"/>
          <w:szCs w:val="24"/>
        </w:rPr>
        <w:t xml:space="preserve"> art. 614 da CLT, com a redação da Lei nº 13.647/2017, na parte em que pretende vedar a ultratividade </w:t>
      </w:r>
      <w:r w:rsidR="0071716B">
        <w:rPr>
          <w:rFonts w:ascii="Times New Roman" w:hAnsi="Times New Roman" w:cs="Times New Roman"/>
          <w:sz w:val="24"/>
          <w:szCs w:val="24"/>
        </w:rPr>
        <w:t xml:space="preserve">por revogação </w:t>
      </w:r>
      <w:r w:rsidR="0071716B" w:rsidRPr="00E46336">
        <w:rPr>
          <w:rFonts w:ascii="Times New Roman" w:hAnsi="Times New Roman" w:cs="Times New Roman"/>
          <w:sz w:val="24"/>
          <w:szCs w:val="24"/>
        </w:rPr>
        <w:t xml:space="preserve">das normas coletivas, é inconstitucional, por </w:t>
      </w:r>
      <w:r w:rsidR="0071716B" w:rsidRPr="00E46336">
        <w:rPr>
          <w:rFonts w:ascii="Times New Roman" w:hAnsi="Times New Roman" w:cs="Times New Roman"/>
          <w:sz w:val="24"/>
          <w:szCs w:val="24"/>
          <w:lang w:eastAsia="pt-BR"/>
        </w:rPr>
        <w:t>viola</w:t>
      </w:r>
      <w:r w:rsidR="0071716B">
        <w:rPr>
          <w:rFonts w:ascii="Times New Roman" w:hAnsi="Times New Roman" w:cs="Times New Roman"/>
          <w:sz w:val="24"/>
          <w:szCs w:val="24"/>
          <w:lang w:eastAsia="pt-BR"/>
        </w:rPr>
        <w:t xml:space="preserve">r </w:t>
      </w:r>
      <w:r w:rsidR="0071716B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o § 2º </w:t>
      </w:r>
      <w:r w:rsidR="0071716B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="0071716B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art. 114 da CF, que garante </w:t>
      </w:r>
      <w:r w:rsidR="0071716B" w:rsidRPr="00E46336">
        <w:rPr>
          <w:rFonts w:ascii="Times New Roman" w:hAnsi="Times New Roman" w:cs="Times New Roman"/>
          <w:sz w:val="24"/>
          <w:szCs w:val="24"/>
        </w:rPr>
        <w:t xml:space="preserve">o respeito às disposições mínimas convencionadas anteriormente de proteção ao trabalho, e o </w:t>
      </w:r>
      <w:r w:rsidR="0071716B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71716B">
        <w:rPr>
          <w:rFonts w:ascii="Times New Roman" w:hAnsi="Times New Roman" w:cs="Times New Roman"/>
          <w:sz w:val="24"/>
          <w:szCs w:val="24"/>
        </w:rPr>
        <w:t xml:space="preserve">do </w:t>
      </w:r>
      <w:r w:rsidR="0071716B" w:rsidRPr="00E46336">
        <w:rPr>
          <w:rFonts w:ascii="Times New Roman" w:hAnsi="Times New Roman" w:cs="Times New Roman"/>
          <w:sz w:val="24"/>
          <w:szCs w:val="24"/>
          <w:lang w:eastAsia="pt-BR"/>
        </w:rPr>
        <w:t>art. 7º</w:t>
      </w:r>
      <w:r w:rsidR="0071716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1716B" w:rsidRPr="00E46336">
        <w:rPr>
          <w:rFonts w:ascii="Times New Roman" w:hAnsi="Times New Roman" w:cs="Times New Roman"/>
          <w:sz w:val="24"/>
          <w:szCs w:val="24"/>
          <w:lang w:eastAsia="pt-BR"/>
        </w:rPr>
        <w:t>da CF, que consagra no âmbito trabalhista o princípio da vedação d</w:t>
      </w:r>
      <w:r w:rsidR="0071716B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71716B" w:rsidRPr="00E46336">
        <w:rPr>
          <w:rFonts w:ascii="Times New Roman" w:hAnsi="Times New Roman" w:cs="Times New Roman"/>
          <w:sz w:val="24"/>
          <w:szCs w:val="24"/>
          <w:lang w:eastAsia="pt-BR"/>
        </w:rPr>
        <w:t xml:space="preserve"> retrocesso social. </w:t>
      </w:r>
    </w:p>
    <w:p w:rsidR="00AD3376" w:rsidRPr="00E46336" w:rsidRDefault="00AD3376" w:rsidP="0071716B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D8C" w:rsidRPr="00E46336" w:rsidRDefault="007E1D8C" w:rsidP="00E46336">
      <w:pPr>
        <w:pStyle w:val="Textodenotaderoda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36">
        <w:rPr>
          <w:rFonts w:ascii="Times New Roman" w:hAnsi="Times New Roman" w:cs="Times New Roman"/>
          <w:b/>
          <w:sz w:val="24"/>
          <w:szCs w:val="24"/>
        </w:rPr>
        <w:t>REFE</w:t>
      </w:r>
      <w:r w:rsidR="00702FB1">
        <w:rPr>
          <w:rFonts w:ascii="Times New Roman" w:hAnsi="Times New Roman" w:cs="Times New Roman"/>
          <w:b/>
          <w:sz w:val="24"/>
          <w:szCs w:val="24"/>
        </w:rPr>
        <w:t>R</w:t>
      </w:r>
      <w:r w:rsidRPr="00E46336">
        <w:rPr>
          <w:rFonts w:ascii="Times New Roman" w:hAnsi="Times New Roman" w:cs="Times New Roman"/>
          <w:b/>
          <w:sz w:val="24"/>
          <w:szCs w:val="24"/>
        </w:rPr>
        <w:t>ÊNCIAS BIBLIOGRÁFICAS</w:t>
      </w:r>
    </w:p>
    <w:p w:rsidR="008E13EB" w:rsidRPr="00E46336" w:rsidRDefault="008E13EB" w:rsidP="00E46336">
      <w:pPr>
        <w:pStyle w:val="NormalWeb"/>
        <w:spacing w:line="276" w:lineRule="auto"/>
        <w:jc w:val="both"/>
        <w:rPr>
          <w:i/>
        </w:rPr>
      </w:pPr>
      <w:r w:rsidRPr="00E46336">
        <w:t xml:space="preserve">AZEVEDO NETO, Platon Teixeira de. </w:t>
      </w:r>
      <w:r w:rsidRPr="00E46336">
        <w:rPr>
          <w:i/>
        </w:rPr>
        <w:t xml:space="preserve">A Reforma Trabalhista e a Vedação da Ultra-atividade das Normas Coletivas: Vedação de Retrocesso Social? </w:t>
      </w:r>
      <w:r w:rsidRPr="00E46336">
        <w:t xml:space="preserve">IN: FELICIANO, Guilherme Guimarães; TREVISO, Marco Aurélio Marsiglia; FONTES, Saulo Tarcísio de Carvalho. </w:t>
      </w:r>
      <w:r w:rsidRPr="00E46336">
        <w:rPr>
          <w:i/>
        </w:rPr>
        <w:t xml:space="preserve">Reforma Trabalhista – visão, compreensão e crítica. São Paulo: LTr, 2017. </w:t>
      </w:r>
    </w:p>
    <w:p w:rsidR="008E13EB" w:rsidRPr="00E46336" w:rsidRDefault="008E13EB" w:rsidP="00E46336">
      <w:pPr>
        <w:pStyle w:val="NormalWeb"/>
        <w:spacing w:line="276" w:lineRule="auto"/>
        <w:jc w:val="both"/>
      </w:pPr>
      <w:r w:rsidRPr="00E46336">
        <w:t xml:space="preserve">CARVALHO, Augusto César Leite de; ARRUDA, Kátia Magalhães; DELGADO, Maurício Godinho. </w:t>
      </w:r>
      <w:r w:rsidRPr="00E46336">
        <w:rPr>
          <w:i/>
        </w:rPr>
        <w:t xml:space="preserve">A Súmula nº 277 e a defesa da Constituição. </w:t>
      </w:r>
      <w:r w:rsidRPr="00E46336">
        <w:t xml:space="preserve">Revista do TST, Brasília, vol. 78, nº 3, out/dez 2012. </w:t>
      </w:r>
    </w:p>
    <w:p w:rsidR="007E1D8C" w:rsidRPr="00E46336" w:rsidRDefault="007E1D8C" w:rsidP="00E46336">
      <w:pPr>
        <w:pStyle w:val="NormalWeb"/>
        <w:spacing w:line="276" w:lineRule="auto"/>
        <w:jc w:val="both"/>
      </w:pPr>
      <w:r w:rsidRPr="00E46336">
        <w:t xml:space="preserve">DELGADO, Maurício Godinho; e DELGADO, Gabriela Neves. </w:t>
      </w:r>
      <w:r w:rsidRPr="00E46336">
        <w:rPr>
          <w:i/>
        </w:rPr>
        <w:t xml:space="preserve">A Reforma Trabalhista no Brasil – Com os comentários à Lei nº 13.467/2017. </w:t>
      </w:r>
      <w:r w:rsidRPr="00E46336">
        <w:t xml:space="preserve">São Paulo: LTr, 2017. </w:t>
      </w:r>
    </w:p>
    <w:p w:rsidR="007E1D8C" w:rsidRPr="00E46336" w:rsidRDefault="007E1D8C" w:rsidP="00E46336">
      <w:pPr>
        <w:pStyle w:val="NormalWeb"/>
        <w:spacing w:line="276" w:lineRule="auto"/>
        <w:jc w:val="both"/>
      </w:pPr>
      <w:r w:rsidRPr="00E46336">
        <w:t xml:space="preserve">LIMA, Francisco Meton Marques de; LIMA, Francisco Péricles Marques de. </w:t>
      </w:r>
      <w:r w:rsidRPr="00E46336">
        <w:rPr>
          <w:i/>
        </w:rPr>
        <w:t xml:space="preserve">Reforma Trabalhista – entenda ponto por ponto. </w:t>
      </w:r>
      <w:r w:rsidRPr="00E46336">
        <w:t xml:space="preserve">São Paulo: LTr, 2017. </w:t>
      </w:r>
    </w:p>
    <w:p w:rsidR="0010782F" w:rsidRPr="00E46336" w:rsidRDefault="0010782F" w:rsidP="00E46336">
      <w:pPr>
        <w:pStyle w:val="NormalWeb"/>
        <w:spacing w:line="276" w:lineRule="auto"/>
        <w:jc w:val="both"/>
      </w:pPr>
    </w:p>
    <w:p w:rsidR="0096669D" w:rsidRPr="00E46336" w:rsidRDefault="0096669D" w:rsidP="00E46336">
      <w:pPr>
        <w:pStyle w:val="NormalWeb"/>
        <w:spacing w:line="276" w:lineRule="auto"/>
        <w:jc w:val="both"/>
        <w:rPr>
          <w:i/>
        </w:rPr>
      </w:pPr>
    </w:p>
    <w:sectPr w:rsidR="0096669D" w:rsidRPr="00E46336" w:rsidSect="004F399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FF" w:rsidRDefault="0053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328FF" w:rsidRDefault="0053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7C" w:rsidRDefault="00804B78">
    <w:pPr>
      <w:pStyle w:val="Rodap"/>
      <w:jc w:val="center"/>
      <w:rPr>
        <w:rFonts w:ascii="Times New Roman" w:hAnsi="Times New Roman" w:cs="Times New Roman"/>
      </w:rPr>
    </w:pPr>
    <w:fldSimple w:instr="PAGE   \* MERGEFORMAT">
      <w:r w:rsidR="00965D2B">
        <w:rPr>
          <w:noProof/>
        </w:rPr>
        <w:t>5</w:t>
      </w:r>
    </w:fldSimple>
  </w:p>
  <w:p w:rsidR="00066C7C" w:rsidRDefault="00066C7C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FF" w:rsidRDefault="0053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328FF" w:rsidRDefault="0053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7C" w:rsidRPr="005852DA" w:rsidRDefault="00066C7C" w:rsidP="005852DA">
    <w:pPr>
      <w:pStyle w:val="NormalWeb"/>
      <w:spacing w:after="200" w:afterAutospacing="0"/>
      <w:jc w:val="center"/>
      <w:rPr>
        <w:rFonts w:asciiTheme="majorHAnsi" w:hAnsiTheme="majorHAnsi" w:cs="Courier New"/>
        <w:bCs/>
        <w:sz w:val="22"/>
        <w:szCs w:val="22"/>
      </w:rPr>
    </w:pPr>
    <w:r w:rsidRPr="005852DA">
      <w:rPr>
        <w:rFonts w:asciiTheme="majorHAnsi" w:hAnsiTheme="majorHAnsi" w:cs="Courier New"/>
        <w:bCs/>
        <w:sz w:val="22"/>
        <w:szCs w:val="22"/>
      </w:rPr>
      <w:t xml:space="preserve">ANAMATRA – </w:t>
    </w:r>
    <w:r>
      <w:rPr>
        <w:rFonts w:asciiTheme="majorHAnsi" w:hAnsiTheme="majorHAnsi" w:cs="Courier New"/>
        <w:bCs/>
        <w:sz w:val="22"/>
        <w:szCs w:val="22"/>
      </w:rPr>
      <w:t>Associação Nacional dos Magistrados d</w:t>
    </w:r>
    <w:r w:rsidR="00702FB1">
      <w:rPr>
        <w:rFonts w:asciiTheme="majorHAnsi" w:hAnsiTheme="majorHAnsi" w:cs="Courier New"/>
        <w:bCs/>
        <w:sz w:val="22"/>
        <w:szCs w:val="22"/>
      </w:rPr>
      <w:t>a Justiça d</w:t>
    </w:r>
    <w:r w:rsidRPr="005852DA">
      <w:rPr>
        <w:rFonts w:asciiTheme="majorHAnsi" w:hAnsiTheme="majorHAnsi" w:cs="Courier New"/>
        <w:bCs/>
        <w:sz w:val="22"/>
        <w:szCs w:val="22"/>
      </w:rPr>
      <w:t>o Trabalho</w:t>
    </w:r>
  </w:p>
  <w:p w:rsidR="00066C7C" w:rsidRDefault="00066C7C" w:rsidP="005852DA">
    <w:pPr>
      <w:pStyle w:val="Cabealho"/>
      <w:jc w:val="center"/>
      <w:rPr>
        <w:rFonts w:asciiTheme="majorHAnsi" w:hAnsiTheme="majorHAnsi" w:cs="Times New Roman"/>
      </w:rPr>
    </w:pPr>
    <w:r w:rsidRPr="005852DA">
      <w:rPr>
        <w:rFonts w:asciiTheme="majorHAnsi" w:hAnsiTheme="majorHAnsi" w:cs="Times New Roman"/>
      </w:rPr>
      <w:t>19º CONAMAT – Congresso Nacional dos Magistrados da Justiça do Trabalho</w:t>
    </w:r>
  </w:p>
  <w:p w:rsidR="00702FB1" w:rsidRPr="005852DA" w:rsidRDefault="00702FB1" w:rsidP="005852DA">
    <w:pPr>
      <w:pStyle w:val="Cabealho"/>
      <w:jc w:val="center"/>
      <w:rPr>
        <w:rFonts w:asciiTheme="majorHAnsi" w:hAnsiTheme="majorHAnsi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9C2"/>
    <w:multiLevelType w:val="hybridMultilevel"/>
    <w:tmpl w:val="D40EA040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399C"/>
    <w:rsid w:val="0000575A"/>
    <w:rsid w:val="000141F4"/>
    <w:rsid w:val="000146B3"/>
    <w:rsid w:val="00016F58"/>
    <w:rsid w:val="000242AE"/>
    <w:rsid w:val="0003527D"/>
    <w:rsid w:val="00035E15"/>
    <w:rsid w:val="00050CA6"/>
    <w:rsid w:val="0005107D"/>
    <w:rsid w:val="00066C7C"/>
    <w:rsid w:val="0009489A"/>
    <w:rsid w:val="00096751"/>
    <w:rsid w:val="000B15CB"/>
    <w:rsid w:val="000C7137"/>
    <w:rsid w:val="000D4DB2"/>
    <w:rsid w:val="000D7BA1"/>
    <w:rsid w:val="000E2CE3"/>
    <w:rsid w:val="0010782F"/>
    <w:rsid w:val="0012686C"/>
    <w:rsid w:val="001466B0"/>
    <w:rsid w:val="00156CF5"/>
    <w:rsid w:val="0016233F"/>
    <w:rsid w:val="00166B16"/>
    <w:rsid w:val="0018017C"/>
    <w:rsid w:val="00181B46"/>
    <w:rsid w:val="001B3EEE"/>
    <w:rsid w:val="001C1D17"/>
    <w:rsid w:val="001C2E35"/>
    <w:rsid w:val="001C6A7B"/>
    <w:rsid w:val="00201D4F"/>
    <w:rsid w:val="00221660"/>
    <w:rsid w:val="002362AE"/>
    <w:rsid w:val="0027169A"/>
    <w:rsid w:val="00280A7F"/>
    <w:rsid w:val="00287BE6"/>
    <w:rsid w:val="002B08A9"/>
    <w:rsid w:val="002C4081"/>
    <w:rsid w:val="002D2147"/>
    <w:rsid w:val="002D3B47"/>
    <w:rsid w:val="002F2023"/>
    <w:rsid w:val="00300963"/>
    <w:rsid w:val="00325243"/>
    <w:rsid w:val="00364176"/>
    <w:rsid w:val="00366AFD"/>
    <w:rsid w:val="00372848"/>
    <w:rsid w:val="003772CF"/>
    <w:rsid w:val="00385CF3"/>
    <w:rsid w:val="00390C30"/>
    <w:rsid w:val="0039161D"/>
    <w:rsid w:val="0039234D"/>
    <w:rsid w:val="00392A8A"/>
    <w:rsid w:val="003945E5"/>
    <w:rsid w:val="00395B22"/>
    <w:rsid w:val="003971FD"/>
    <w:rsid w:val="003A05F4"/>
    <w:rsid w:val="003A0F3B"/>
    <w:rsid w:val="003A51DE"/>
    <w:rsid w:val="003B5565"/>
    <w:rsid w:val="003D0468"/>
    <w:rsid w:val="003F2B8F"/>
    <w:rsid w:val="004062A0"/>
    <w:rsid w:val="00421640"/>
    <w:rsid w:val="00452851"/>
    <w:rsid w:val="0046540F"/>
    <w:rsid w:val="00471297"/>
    <w:rsid w:val="0047774C"/>
    <w:rsid w:val="004935B6"/>
    <w:rsid w:val="004B6ECE"/>
    <w:rsid w:val="004F19DF"/>
    <w:rsid w:val="004F399C"/>
    <w:rsid w:val="00507A3A"/>
    <w:rsid w:val="0051525F"/>
    <w:rsid w:val="00522AEC"/>
    <w:rsid w:val="00523E38"/>
    <w:rsid w:val="005328FF"/>
    <w:rsid w:val="00555161"/>
    <w:rsid w:val="00564E63"/>
    <w:rsid w:val="00567C11"/>
    <w:rsid w:val="005766DD"/>
    <w:rsid w:val="00581CBA"/>
    <w:rsid w:val="0058379A"/>
    <w:rsid w:val="005852DA"/>
    <w:rsid w:val="005858F0"/>
    <w:rsid w:val="005B215F"/>
    <w:rsid w:val="005C5FC4"/>
    <w:rsid w:val="005E29EA"/>
    <w:rsid w:val="005E7FB9"/>
    <w:rsid w:val="005F53F1"/>
    <w:rsid w:val="00620E3A"/>
    <w:rsid w:val="0063676B"/>
    <w:rsid w:val="006444E2"/>
    <w:rsid w:val="00650F6F"/>
    <w:rsid w:val="00664FD7"/>
    <w:rsid w:val="00666E7E"/>
    <w:rsid w:val="00671EEC"/>
    <w:rsid w:val="006A3112"/>
    <w:rsid w:val="006A4A23"/>
    <w:rsid w:val="006A4A6D"/>
    <w:rsid w:val="006A6A5F"/>
    <w:rsid w:val="006D6D9B"/>
    <w:rsid w:val="006F7959"/>
    <w:rsid w:val="00702FB1"/>
    <w:rsid w:val="007072F5"/>
    <w:rsid w:val="0071716B"/>
    <w:rsid w:val="007431A8"/>
    <w:rsid w:val="00744CDD"/>
    <w:rsid w:val="0074602D"/>
    <w:rsid w:val="00761959"/>
    <w:rsid w:val="007757D0"/>
    <w:rsid w:val="0078674E"/>
    <w:rsid w:val="00794E74"/>
    <w:rsid w:val="007B6B6E"/>
    <w:rsid w:val="007B6F82"/>
    <w:rsid w:val="007C1047"/>
    <w:rsid w:val="007E1750"/>
    <w:rsid w:val="007E1D8C"/>
    <w:rsid w:val="00804B78"/>
    <w:rsid w:val="008211D3"/>
    <w:rsid w:val="00823621"/>
    <w:rsid w:val="00830470"/>
    <w:rsid w:val="008375E9"/>
    <w:rsid w:val="00837827"/>
    <w:rsid w:val="00837A72"/>
    <w:rsid w:val="00837F0D"/>
    <w:rsid w:val="008448F5"/>
    <w:rsid w:val="00864FE5"/>
    <w:rsid w:val="0086554A"/>
    <w:rsid w:val="008823E2"/>
    <w:rsid w:val="00890CD9"/>
    <w:rsid w:val="0089563A"/>
    <w:rsid w:val="008A0104"/>
    <w:rsid w:val="008A15B3"/>
    <w:rsid w:val="008B5E2F"/>
    <w:rsid w:val="008C1F08"/>
    <w:rsid w:val="008C2B89"/>
    <w:rsid w:val="008C39C2"/>
    <w:rsid w:val="008D2B5D"/>
    <w:rsid w:val="008D3F47"/>
    <w:rsid w:val="008E13EB"/>
    <w:rsid w:val="008F181A"/>
    <w:rsid w:val="009129CC"/>
    <w:rsid w:val="00913FD9"/>
    <w:rsid w:val="009147D3"/>
    <w:rsid w:val="00931510"/>
    <w:rsid w:val="00936B8F"/>
    <w:rsid w:val="00940DEA"/>
    <w:rsid w:val="00952D3B"/>
    <w:rsid w:val="00956D78"/>
    <w:rsid w:val="0096188E"/>
    <w:rsid w:val="00965D2B"/>
    <w:rsid w:val="0096669D"/>
    <w:rsid w:val="0097259F"/>
    <w:rsid w:val="00990737"/>
    <w:rsid w:val="009943CD"/>
    <w:rsid w:val="0099603C"/>
    <w:rsid w:val="009A44F3"/>
    <w:rsid w:val="009B63BA"/>
    <w:rsid w:val="009C43D2"/>
    <w:rsid w:val="009D2565"/>
    <w:rsid w:val="009D33BC"/>
    <w:rsid w:val="009E6F22"/>
    <w:rsid w:val="009F2B70"/>
    <w:rsid w:val="009F32DC"/>
    <w:rsid w:val="009F6E8A"/>
    <w:rsid w:val="009F6EC4"/>
    <w:rsid w:val="00A06752"/>
    <w:rsid w:val="00A145FC"/>
    <w:rsid w:val="00A16F18"/>
    <w:rsid w:val="00A3160C"/>
    <w:rsid w:val="00A43D4F"/>
    <w:rsid w:val="00A550EF"/>
    <w:rsid w:val="00A6006F"/>
    <w:rsid w:val="00A731D2"/>
    <w:rsid w:val="00A73559"/>
    <w:rsid w:val="00A73DAA"/>
    <w:rsid w:val="00AA3FF3"/>
    <w:rsid w:val="00AA625F"/>
    <w:rsid w:val="00AA64DE"/>
    <w:rsid w:val="00AC0ADC"/>
    <w:rsid w:val="00AD1A34"/>
    <w:rsid w:val="00AD3376"/>
    <w:rsid w:val="00AE5ADE"/>
    <w:rsid w:val="00AF78F9"/>
    <w:rsid w:val="00B025EA"/>
    <w:rsid w:val="00B0279F"/>
    <w:rsid w:val="00B11A10"/>
    <w:rsid w:val="00B11B34"/>
    <w:rsid w:val="00B229C2"/>
    <w:rsid w:val="00B50D1E"/>
    <w:rsid w:val="00B52072"/>
    <w:rsid w:val="00B5547B"/>
    <w:rsid w:val="00B60D54"/>
    <w:rsid w:val="00B60E71"/>
    <w:rsid w:val="00B65F36"/>
    <w:rsid w:val="00B90553"/>
    <w:rsid w:val="00B92507"/>
    <w:rsid w:val="00B94E4F"/>
    <w:rsid w:val="00BB0EA2"/>
    <w:rsid w:val="00BB4616"/>
    <w:rsid w:val="00BC03DF"/>
    <w:rsid w:val="00BD1F26"/>
    <w:rsid w:val="00BD5790"/>
    <w:rsid w:val="00BD6D00"/>
    <w:rsid w:val="00BE04F4"/>
    <w:rsid w:val="00C1230A"/>
    <w:rsid w:val="00C43A73"/>
    <w:rsid w:val="00C77DF3"/>
    <w:rsid w:val="00C81DFC"/>
    <w:rsid w:val="00C84603"/>
    <w:rsid w:val="00C91231"/>
    <w:rsid w:val="00C91FD8"/>
    <w:rsid w:val="00CA2F68"/>
    <w:rsid w:val="00CC3C27"/>
    <w:rsid w:val="00CC41FD"/>
    <w:rsid w:val="00CE6F98"/>
    <w:rsid w:val="00CF5480"/>
    <w:rsid w:val="00D16CC7"/>
    <w:rsid w:val="00D35A0C"/>
    <w:rsid w:val="00D6414E"/>
    <w:rsid w:val="00D7667F"/>
    <w:rsid w:val="00D81360"/>
    <w:rsid w:val="00DB29F3"/>
    <w:rsid w:val="00DC241A"/>
    <w:rsid w:val="00DC5DB3"/>
    <w:rsid w:val="00DF0545"/>
    <w:rsid w:val="00DF5B66"/>
    <w:rsid w:val="00DF5F46"/>
    <w:rsid w:val="00E01D3E"/>
    <w:rsid w:val="00E248B9"/>
    <w:rsid w:val="00E46336"/>
    <w:rsid w:val="00E51503"/>
    <w:rsid w:val="00E57B43"/>
    <w:rsid w:val="00E7107E"/>
    <w:rsid w:val="00E8016E"/>
    <w:rsid w:val="00E85166"/>
    <w:rsid w:val="00E879B5"/>
    <w:rsid w:val="00E9263C"/>
    <w:rsid w:val="00EA1768"/>
    <w:rsid w:val="00EA6EDD"/>
    <w:rsid w:val="00EB0B3D"/>
    <w:rsid w:val="00EC25BF"/>
    <w:rsid w:val="00EC3E7A"/>
    <w:rsid w:val="00EC68D5"/>
    <w:rsid w:val="00ED21B6"/>
    <w:rsid w:val="00ED462A"/>
    <w:rsid w:val="00ED7C58"/>
    <w:rsid w:val="00F00738"/>
    <w:rsid w:val="00F023C8"/>
    <w:rsid w:val="00F12197"/>
    <w:rsid w:val="00F268CE"/>
    <w:rsid w:val="00F307D5"/>
    <w:rsid w:val="00F31415"/>
    <w:rsid w:val="00F632D8"/>
    <w:rsid w:val="00F70EF7"/>
    <w:rsid w:val="00F756FD"/>
    <w:rsid w:val="00F86664"/>
    <w:rsid w:val="00FC05CA"/>
    <w:rsid w:val="00FD79E6"/>
    <w:rsid w:val="00FE5C62"/>
    <w:rsid w:val="00FF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5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6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uiPriority w:val="99"/>
    <w:rsid w:val="00A06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A06752"/>
    <w:rPr>
      <w:rFonts w:ascii="Times New Roman" w:hAnsi="Times New Roman"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A067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A06752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rsid w:val="00A06752"/>
    <w:rPr>
      <w:rFonts w:ascii="Times New Roman" w:hAnsi="Times New Roman" w:cs="Times New Roman"/>
      <w:vertAlign w:val="superscript"/>
    </w:rPr>
  </w:style>
  <w:style w:type="paragraph" w:styleId="Cabealho">
    <w:name w:val="header"/>
    <w:basedOn w:val="Normal"/>
    <w:link w:val="CabealhoChar"/>
    <w:uiPriority w:val="99"/>
    <w:rsid w:val="00A06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A06752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rsid w:val="00A06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A06752"/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A0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A0675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52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6DF8-0FEE-4ACD-B935-8AB81078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1667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Boson</dc:creator>
  <cp:lastModifiedBy>cassandra</cp:lastModifiedBy>
  <cp:revision>69</cp:revision>
  <cp:lastPrinted>2018-04-11T15:01:00Z</cp:lastPrinted>
  <dcterms:created xsi:type="dcterms:W3CDTF">2018-04-10T19:25:00Z</dcterms:created>
  <dcterms:modified xsi:type="dcterms:W3CDTF">2018-04-12T14:14:00Z</dcterms:modified>
</cp:coreProperties>
</file>